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48" w:rsidRDefault="00700648" w:rsidP="00700648">
      <w:pPr>
        <w:pStyle w:val="Heading1"/>
      </w:pPr>
      <w:bookmarkStart w:id="0" w:name="_GoBack"/>
      <w:bookmarkEnd w:id="0"/>
      <w:r>
        <w:rPr>
          <w:noProof/>
        </w:rPr>
        <w:drawing>
          <wp:inline distT="0" distB="0" distL="0" distR="0" wp14:anchorId="2D23D425" wp14:editId="528E5D5E">
            <wp:extent cx="2996184" cy="676656"/>
            <wp:effectExtent l="0" t="0" r="0" b="9525"/>
            <wp:docPr id="1" name="Picture 1" title="Australian Government: Australian Public Service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SC_IN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18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648" w:rsidRPr="00095295" w:rsidRDefault="00700648" w:rsidP="00700648">
      <w:pPr>
        <w:pStyle w:val="Heading1"/>
      </w:pPr>
      <w:r w:rsidRPr="00095295">
        <w:t>Your personal information</w:t>
      </w:r>
    </w:p>
    <w:p w:rsidR="00700648" w:rsidRDefault="00700648" w:rsidP="00700648">
      <w:r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700648" w:rsidRDefault="00374E43" w:rsidP="00700648">
      <w:pPr>
        <w:pStyle w:val="ListParagraph"/>
        <w:numPr>
          <w:ilvl w:val="0"/>
          <w:numId w:val="1"/>
        </w:numPr>
      </w:pPr>
      <w:hyperlink r:id="rId9" w:history="1">
        <w:r w:rsidR="00700648" w:rsidRPr="003D0414">
          <w:rPr>
            <w:rStyle w:val="Hyperlink"/>
          </w:rPr>
          <w:t>http://www.apsc.gov.au/privacy</w:t>
        </w:r>
      </w:hyperlink>
    </w:p>
    <w:p w:rsidR="00700648" w:rsidRDefault="00700648" w:rsidP="00700648">
      <w:r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information"/>
      </w:tblPr>
      <w:tblGrid>
        <w:gridCol w:w="2731"/>
        <w:gridCol w:w="6511"/>
      </w:tblGrid>
      <w:tr w:rsidR="00700648" w:rsidTr="00524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700648" w:rsidRPr="00F326A4" w:rsidRDefault="00B60920" w:rsidP="00202EDB">
            <w:pPr>
              <w:pStyle w:val="Heading2"/>
              <w:outlineLvl w:val="1"/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Australian </w:t>
            </w:r>
            <w:r w:rsidR="00202EDB">
              <w:rPr>
                <w:rFonts w:asciiTheme="minorHAnsi" w:hAnsiTheme="minorHAnsi" w:cstheme="minorHAnsi"/>
                <w:color w:val="FFFFFF" w:themeColor="background1"/>
              </w:rPr>
              <w:t xml:space="preserve">Public Service Commissioner </w:t>
            </w:r>
            <w:r w:rsidR="00700648">
              <w:rPr>
                <w:rFonts w:asciiTheme="minorHAnsi" w:hAnsiTheme="minorHAnsi" w:cstheme="minorHAnsi"/>
                <w:color w:val="FFFFFF" w:themeColor="background1"/>
              </w:rPr>
              <w:t xml:space="preserve">Code of Conduct inquiry </w:t>
            </w:r>
            <w:r w:rsidR="00700648" w:rsidRPr="00095295">
              <w:rPr>
                <w:rFonts w:asciiTheme="minorHAnsi" w:hAnsiTheme="minorHAnsi" w:cstheme="minorHAnsi"/>
                <w:color w:val="FFFFFF" w:themeColor="background1"/>
              </w:rPr>
              <w:t>– APP 5 Notice</w:t>
            </w:r>
          </w:p>
        </w:tc>
      </w:tr>
      <w:tr w:rsidR="00700648" w:rsidTr="0052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700648" w:rsidRDefault="00700648" w:rsidP="00524C86">
            <w:r>
              <w:t>Who is collecting your personal information?</w:t>
            </w:r>
          </w:p>
        </w:tc>
        <w:tc>
          <w:tcPr>
            <w:tcW w:w="6511" w:type="dxa"/>
          </w:tcPr>
          <w:p w:rsidR="00700648" w:rsidRDefault="00700648" w:rsidP="00524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personal information is being collected by the Australian Public Service Commission.</w:t>
            </w:r>
          </w:p>
        </w:tc>
      </w:tr>
      <w:tr w:rsidR="00700648" w:rsidTr="005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700648" w:rsidRDefault="00700648" w:rsidP="00524C86">
            <w:r>
              <w:t>Authority for collection of personal information</w:t>
            </w:r>
          </w:p>
        </w:tc>
        <w:tc>
          <w:tcPr>
            <w:tcW w:w="6511" w:type="dxa"/>
          </w:tcPr>
          <w:p w:rsidR="00700648" w:rsidRPr="002C3102" w:rsidRDefault="00700648" w:rsidP="00524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Australian Public Service Commissioner </w:t>
            </w:r>
            <w:r w:rsidR="00082364">
              <w:t xml:space="preserve">(the Commissioner) </w:t>
            </w:r>
            <w:r>
              <w:t xml:space="preserve">has a number of functions under </w:t>
            </w:r>
            <w:r w:rsidRPr="00202EDB">
              <w:t>the</w:t>
            </w:r>
            <w:r w:rsidR="00202EDB" w:rsidRPr="00202EDB">
              <w:t xml:space="preserve"> </w:t>
            </w:r>
            <w:r w:rsidR="00202EDB" w:rsidRPr="00202EDB">
              <w:rPr>
                <w:i/>
              </w:rPr>
              <w:t>Public Service Act 1999</w:t>
            </w:r>
            <w:r w:rsidR="00202EDB">
              <w:t xml:space="preserve"> (the Act)</w:t>
            </w:r>
            <w:r w:rsidR="00F02C5C">
              <w:t>,</w:t>
            </w:r>
            <w:r w:rsidR="00202EDB">
              <w:rPr>
                <w:i/>
              </w:rPr>
              <w:t xml:space="preserve"> </w:t>
            </w:r>
            <w:r>
              <w:t>inclu</w:t>
            </w:r>
            <w:r w:rsidR="00202EDB">
              <w:t xml:space="preserve">ding to conduct a Code of Conduct inquiry in accordance with section 41(2)(n) and </w:t>
            </w:r>
            <w:r w:rsidR="00E2183C">
              <w:t xml:space="preserve">section </w:t>
            </w:r>
            <w:proofErr w:type="spellStart"/>
            <w:r w:rsidR="00202EDB">
              <w:t>41B</w:t>
            </w:r>
            <w:proofErr w:type="spellEnd"/>
            <w:r w:rsidR="00202EDB">
              <w:t xml:space="preserve"> of the Act</w:t>
            </w:r>
            <w:r w:rsidR="00082364">
              <w:t>, on request by an agency head or</w:t>
            </w:r>
            <w:r w:rsidR="00F02C5C">
              <w:t>,</w:t>
            </w:r>
            <w:r w:rsidR="00082364">
              <w:t xml:space="preserve"> </w:t>
            </w:r>
            <w:r w:rsidR="00F02C5C">
              <w:t xml:space="preserve">in certain circumstances, </w:t>
            </w:r>
            <w:r w:rsidR="00082364">
              <w:t>the Prime Minister</w:t>
            </w:r>
            <w:r>
              <w:t>.</w:t>
            </w:r>
            <w:r w:rsidDel="00BB2C91">
              <w:t xml:space="preserve"> </w:t>
            </w:r>
            <w:r w:rsidR="00202EDB">
              <w:t>In performing this function personal information is collected from witnesses, from the employee’s agency and from the subject of the inquiry.</w:t>
            </w:r>
          </w:p>
        </w:tc>
      </w:tr>
      <w:tr w:rsidR="00700648" w:rsidTr="0052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700648" w:rsidRDefault="00700648" w:rsidP="00524C86">
            <w:r>
              <w:t>Why does the Commission collect your personal information?</w:t>
            </w:r>
          </w:p>
        </w:tc>
        <w:tc>
          <w:tcPr>
            <w:tcW w:w="6511" w:type="dxa"/>
          </w:tcPr>
          <w:p w:rsidR="00700648" w:rsidRPr="000F0DB0" w:rsidRDefault="00082364" w:rsidP="00202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Commissioner</w:t>
            </w:r>
            <w:r w:rsidR="00202EDB">
              <w:t xml:space="preserve"> is performing a statutory function under the Act to inquire into alleged breaches of the Code of Conduct by an APS </w:t>
            </w:r>
            <w:r w:rsidR="00D1098C">
              <w:t>employee or former APS employee</w:t>
            </w:r>
            <w:r>
              <w:t xml:space="preserve"> in order to determine whether the employee has breached the Code. Personal and sensitive information is collected in order to enable the Commissioner to make such a determination.</w:t>
            </w:r>
          </w:p>
        </w:tc>
      </w:tr>
      <w:tr w:rsidR="00700648" w:rsidTr="005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700648" w:rsidRDefault="00700648" w:rsidP="00524C86">
            <w:r>
              <w:t>What would happen if the Commission did not collect your personal information?</w:t>
            </w:r>
          </w:p>
        </w:tc>
        <w:tc>
          <w:tcPr>
            <w:tcW w:w="6511" w:type="dxa"/>
          </w:tcPr>
          <w:p w:rsidR="00700648" w:rsidRPr="00921938" w:rsidRDefault="00700648" w:rsidP="00524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1D7">
              <w:t>If the Commission did not collect you</w:t>
            </w:r>
            <w:r w:rsidR="00082364">
              <w:t>r personal information, the Commissioner would be unable to perform the function</w:t>
            </w:r>
            <w:r w:rsidRPr="00C731D7">
              <w:t>.</w:t>
            </w:r>
          </w:p>
        </w:tc>
      </w:tr>
      <w:tr w:rsidR="00700648" w:rsidTr="0052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700648" w:rsidRDefault="00700648" w:rsidP="00524C86">
            <w:r>
              <w:t>Who will the Commission disclose your personal information to?</w:t>
            </w:r>
          </w:p>
        </w:tc>
        <w:tc>
          <w:tcPr>
            <w:tcW w:w="6511" w:type="dxa"/>
          </w:tcPr>
          <w:p w:rsidR="00700648" w:rsidRDefault="002D09A6" w:rsidP="00524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the course of an inquiry, y</w:t>
            </w:r>
            <w:r w:rsidR="00082364">
              <w:t>our personal information may be disclosed to witnesses</w:t>
            </w:r>
            <w:r w:rsidR="00F02C5C">
              <w:t xml:space="preserve"> and</w:t>
            </w:r>
            <w:r w:rsidR="00D1098C">
              <w:t xml:space="preserve"> the subject of the allegations, to employees of the Commission </w:t>
            </w:r>
            <w:r w:rsidR="00082364">
              <w:t>assisting the inquiry</w:t>
            </w:r>
            <w:r w:rsidR="00D1098C">
              <w:t>,</w:t>
            </w:r>
            <w:r w:rsidR="00F02C5C">
              <w:t xml:space="preserve"> and </w:t>
            </w:r>
            <w:r w:rsidR="00D1098C">
              <w:t xml:space="preserve">to any contracted provider </w:t>
            </w:r>
            <w:r w:rsidR="00082364">
              <w:t>assisting</w:t>
            </w:r>
            <w:r w:rsidR="00D1098C">
              <w:t xml:space="preserve"> the inquiry.  </w:t>
            </w:r>
            <w:r w:rsidR="00082364">
              <w:t xml:space="preserve">Given that section </w:t>
            </w:r>
            <w:proofErr w:type="spellStart"/>
            <w:r w:rsidR="00082364">
              <w:t>41B</w:t>
            </w:r>
            <w:proofErr w:type="spellEnd"/>
            <w:r w:rsidR="00082364">
              <w:t xml:space="preserve"> requires that the results of the inq</w:t>
            </w:r>
            <w:r w:rsidR="00D1098C">
              <w:t>uiry are to be reported to the a</w:t>
            </w:r>
            <w:r w:rsidR="00082364">
              <w:t>gency head and</w:t>
            </w:r>
            <w:r w:rsidR="00D1098C">
              <w:t>,</w:t>
            </w:r>
            <w:r w:rsidR="00082364">
              <w:t xml:space="preserve"> if relevant</w:t>
            </w:r>
            <w:r w:rsidR="00D1098C">
              <w:t>,</w:t>
            </w:r>
            <w:r w:rsidR="00082364">
              <w:t xml:space="preserve"> the Prime Minister,</w:t>
            </w:r>
            <w:r w:rsidR="00D1098C">
              <w:t xml:space="preserve"> your personal information may</w:t>
            </w:r>
            <w:r w:rsidR="00700648">
              <w:t xml:space="preserve"> be disclosed to the </w:t>
            </w:r>
            <w:r w:rsidR="00082364">
              <w:t xml:space="preserve">relevant </w:t>
            </w:r>
            <w:r w:rsidR="00700648">
              <w:t>agency</w:t>
            </w:r>
            <w:r w:rsidR="00E2183C">
              <w:t xml:space="preserve"> head, </w:t>
            </w:r>
            <w:r w:rsidR="00082364">
              <w:t xml:space="preserve">the relevant agency </w:t>
            </w:r>
            <w:r w:rsidR="00D1098C">
              <w:t>and</w:t>
            </w:r>
            <w:r w:rsidR="00082364">
              <w:t xml:space="preserve"> the Prime Minister</w:t>
            </w:r>
            <w:r w:rsidR="00700648">
              <w:t>.</w:t>
            </w:r>
          </w:p>
          <w:p w:rsidR="00D1098C" w:rsidRPr="000A665F" w:rsidRDefault="00D1098C" w:rsidP="00524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0648" w:rsidTr="005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700648" w:rsidRDefault="00700648" w:rsidP="00524C86">
            <w:r>
              <w:lastRenderedPageBreak/>
              <w:t>Access to and correction of your personal information.</w:t>
            </w:r>
          </w:p>
        </w:tc>
        <w:tc>
          <w:tcPr>
            <w:tcW w:w="6511" w:type="dxa"/>
          </w:tcPr>
          <w:p w:rsidR="00700648" w:rsidRDefault="00700648" w:rsidP="00524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Commission’s privacy policy contains information about how you may access and seek correction of personal information about you that is held by the Commission.</w:t>
            </w:r>
          </w:p>
        </w:tc>
      </w:tr>
      <w:tr w:rsidR="00700648" w:rsidTr="0052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700648" w:rsidRDefault="00700648" w:rsidP="00524C86">
            <w:r>
              <w:t>Privacy complaints.</w:t>
            </w:r>
          </w:p>
        </w:tc>
        <w:tc>
          <w:tcPr>
            <w:tcW w:w="6511" w:type="dxa"/>
          </w:tcPr>
          <w:p w:rsidR="00700648" w:rsidRDefault="00700648" w:rsidP="00524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700648" w:rsidTr="005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700648" w:rsidRDefault="00700648" w:rsidP="00524C86">
            <w:r>
              <w:t>Overseas disclosure of your personal information.</w:t>
            </w:r>
          </w:p>
        </w:tc>
        <w:tc>
          <w:tcPr>
            <w:tcW w:w="6511" w:type="dxa"/>
          </w:tcPr>
          <w:p w:rsidR="00700648" w:rsidRDefault="00F02C5C" w:rsidP="00524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 is un</w:t>
            </w:r>
            <w:r w:rsidR="00700648">
              <w:t>likely that your personal information will be disclosed to any overseas recipients.</w:t>
            </w:r>
          </w:p>
        </w:tc>
      </w:tr>
    </w:tbl>
    <w:p w:rsidR="00700648" w:rsidRDefault="00700648" w:rsidP="00700648"/>
    <w:p w:rsidR="00700648" w:rsidRDefault="00700648" w:rsidP="00700648">
      <w:pPr>
        <w:pStyle w:val="Heading2"/>
        <w:numPr>
          <w:ilvl w:val="1"/>
          <w:numId w:val="2"/>
        </w:numPr>
      </w:pPr>
      <w:r>
        <w:t>Contact details</w:t>
      </w:r>
    </w:p>
    <w:p w:rsidR="00700648" w:rsidRDefault="00700648" w:rsidP="00700648">
      <w:pPr>
        <w:rPr>
          <w:b/>
        </w:rPr>
      </w:pPr>
      <w:r>
        <w:t xml:space="preserve">If you wish to contact the APSC about a privacy-related matter, including questions about this notice, please contact the </w:t>
      </w:r>
      <w:proofErr w:type="spellStart"/>
      <w:r>
        <w:t>APSC’s</w:t>
      </w:r>
      <w:proofErr w:type="spellEnd"/>
      <w:r>
        <w:t xml:space="preserve"> Privacy Contact Officer by one of the following methods:</w:t>
      </w:r>
    </w:p>
    <w:p w:rsidR="00700648" w:rsidRDefault="00700648" w:rsidP="0070064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Post</w:t>
      </w:r>
      <w:r>
        <w:rPr>
          <w:b/>
        </w:rPr>
        <w:br/>
      </w:r>
      <w:r>
        <w:t>Privacy Contact Officer</w:t>
      </w:r>
      <w:r>
        <w:br/>
        <w:t>Australian Public Service Commission</w:t>
      </w:r>
      <w:r>
        <w:br/>
        <w:t xml:space="preserve">16 </w:t>
      </w:r>
      <w:proofErr w:type="spellStart"/>
      <w:r>
        <w:t>Furzer</w:t>
      </w:r>
      <w:proofErr w:type="spellEnd"/>
      <w:r>
        <w:t xml:space="preserve"> Street</w:t>
      </w:r>
      <w:r>
        <w:br/>
        <w:t>WODEN  ACT  2606</w:t>
      </w:r>
    </w:p>
    <w:p w:rsidR="00700648" w:rsidRDefault="00700648" w:rsidP="0070064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Email</w:t>
      </w:r>
      <w:r>
        <w:rPr>
          <w:b/>
        </w:rPr>
        <w:br/>
      </w:r>
      <w:r>
        <w:t>privacy@apsc.gov.au</w:t>
      </w:r>
    </w:p>
    <w:p w:rsidR="00700648" w:rsidRDefault="00700648" w:rsidP="00700648">
      <w:pPr>
        <w:pStyle w:val="ListParagraph"/>
        <w:numPr>
          <w:ilvl w:val="0"/>
          <w:numId w:val="3"/>
        </w:numPr>
      </w:pPr>
      <w:r>
        <w:rPr>
          <w:b/>
        </w:rPr>
        <w:t>Telephone</w:t>
      </w:r>
      <w:r>
        <w:rPr>
          <w:b/>
        </w:rPr>
        <w:br/>
      </w:r>
      <w:r>
        <w:t>02 6202 3735</w:t>
      </w:r>
    </w:p>
    <w:p w:rsidR="00700648" w:rsidRDefault="00700648" w:rsidP="00700648"/>
    <w:p w:rsidR="00D16FCF" w:rsidRDefault="00D16FCF"/>
    <w:sectPr w:rsidR="00D16FCF" w:rsidSect="000952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43" w:rsidRDefault="00374E43" w:rsidP="00374E43">
      <w:pPr>
        <w:spacing w:after="0" w:line="240" w:lineRule="auto"/>
      </w:pPr>
      <w:r>
        <w:separator/>
      </w:r>
    </w:p>
  </w:endnote>
  <w:endnote w:type="continuationSeparator" w:id="0">
    <w:p w:rsidR="00374E43" w:rsidRDefault="00374E43" w:rsidP="0037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43" w:rsidRDefault="00374E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43" w:rsidRDefault="00374E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43" w:rsidRDefault="00374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43" w:rsidRDefault="00374E43" w:rsidP="00374E43">
      <w:pPr>
        <w:spacing w:after="0" w:line="240" w:lineRule="auto"/>
      </w:pPr>
      <w:r>
        <w:separator/>
      </w:r>
    </w:p>
  </w:footnote>
  <w:footnote w:type="continuationSeparator" w:id="0">
    <w:p w:rsidR="00374E43" w:rsidRDefault="00374E43" w:rsidP="0037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43" w:rsidRDefault="00374E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43" w:rsidRDefault="00374E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43" w:rsidRDefault="00374E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48"/>
    <w:rsid w:val="00025747"/>
    <w:rsid w:val="0002749E"/>
    <w:rsid w:val="0003194F"/>
    <w:rsid w:val="00034BF3"/>
    <w:rsid w:val="0007544F"/>
    <w:rsid w:val="00082364"/>
    <w:rsid w:val="000840A7"/>
    <w:rsid w:val="000B28EB"/>
    <w:rsid w:val="000B6DF8"/>
    <w:rsid w:val="000C20CD"/>
    <w:rsid w:val="000D73F4"/>
    <w:rsid w:val="000E3A86"/>
    <w:rsid w:val="0010019E"/>
    <w:rsid w:val="00111599"/>
    <w:rsid w:val="00121733"/>
    <w:rsid w:val="00137A9A"/>
    <w:rsid w:val="00141EC5"/>
    <w:rsid w:val="0014532E"/>
    <w:rsid w:val="00161DE5"/>
    <w:rsid w:val="0017383A"/>
    <w:rsid w:val="001838DA"/>
    <w:rsid w:val="001A4D3F"/>
    <w:rsid w:val="001B7DD9"/>
    <w:rsid w:val="001C5717"/>
    <w:rsid w:val="001E796D"/>
    <w:rsid w:val="00202EDB"/>
    <w:rsid w:val="00203661"/>
    <w:rsid w:val="00211BAA"/>
    <w:rsid w:val="002213C6"/>
    <w:rsid w:val="00243936"/>
    <w:rsid w:val="00264C2E"/>
    <w:rsid w:val="002663AE"/>
    <w:rsid w:val="00282F08"/>
    <w:rsid w:val="002A7412"/>
    <w:rsid w:val="002C4D9C"/>
    <w:rsid w:val="002D09A6"/>
    <w:rsid w:val="002D1918"/>
    <w:rsid w:val="002D2382"/>
    <w:rsid w:val="002E0238"/>
    <w:rsid w:val="002E1322"/>
    <w:rsid w:val="002E403C"/>
    <w:rsid w:val="002E6067"/>
    <w:rsid w:val="00300250"/>
    <w:rsid w:val="00306939"/>
    <w:rsid w:val="00330B8E"/>
    <w:rsid w:val="00345D24"/>
    <w:rsid w:val="003529C5"/>
    <w:rsid w:val="00353050"/>
    <w:rsid w:val="00374E43"/>
    <w:rsid w:val="003902C6"/>
    <w:rsid w:val="003A7504"/>
    <w:rsid w:val="003D5903"/>
    <w:rsid w:val="003E3D81"/>
    <w:rsid w:val="003F1EAD"/>
    <w:rsid w:val="004305F8"/>
    <w:rsid w:val="00436470"/>
    <w:rsid w:val="00440CEB"/>
    <w:rsid w:val="0044203F"/>
    <w:rsid w:val="00456DFB"/>
    <w:rsid w:val="00461142"/>
    <w:rsid w:val="00462629"/>
    <w:rsid w:val="00470A80"/>
    <w:rsid w:val="0047742C"/>
    <w:rsid w:val="0048468F"/>
    <w:rsid w:val="004A6CEA"/>
    <w:rsid w:val="004D1254"/>
    <w:rsid w:val="00544BCA"/>
    <w:rsid w:val="00572FF9"/>
    <w:rsid w:val="005815AF"/>
    <w:rsid w:val="005818DB"/>
    <w:rsid w:val="00581F3F"/>
    <w:rsid w:val="005877FD"/>
    <w:rsid w:val="005D524E"/>
    <w:rsid w:val="005D54B7"/>
    <w:rsid w:val="005F1D7D"/>
    <w:rsid w:val="005F4138"/>
    <w:rsid w:val="005F5C89"/>
    <w:rsid w:val="00604D20"/>
    <w:rsid w:val="00605782"/>
    <w:rsid w:val="0060648F"/>
    <w:rsid w:val="0061000A"/>
    <w:rsid w:val="006134DB"/>
    <w:rsid w:val="00627661"/>
    <w:rsid w:val="00661D10"/>
    <w:rsid w:val="00662606"/>
    <w:rsid w:val="0067011E"/>
    <w:rsid w:val="006A4314"/>
    <w:rsid w:val="006B5319"/>
    <w:rsid w:val="006E0FC9"/>
    <w:rsid w:val="006F04EE"/>
    <w:rsid w:val="00700648"/>
    <w:rsid w:val="00717F31"/>
    <w:rsid w:val="0073013D"/>
    <w:rsid w:val="00750D0A"/>
    <w:rsid w:val="00760102"/>
    <w:rsid w:val="00760232"/>
    <w:rsid w:val="007869C0"/>
    <w:rsid w:val="007A532E"/>
    <w:rsid w:val="007B6E60"/>
    <w:rsid w:val="007B7098"/>
    <w:rsid w:val="007E18B0"/>
    <w:rsid w:val="007E199D"/>
    <w:rsid w:val="007F63AA"/>
    <w:rsid w:val="00801767"/>
    <w:rsid w:val="008029B5"/>
    <w:rsid w:val="00803912"/>
    <w:rsid w:val="00827A60"/>
    <w:rsid w:val="0083754A"/>
    <w:rsid w:val="00840D66"/>
    <w:rsid w:val="0085113E"/>
    <w:rsid w:val="00865503"/>
    <w:rsid w:val="008A7F0D"/>
    <w:rsid w:val="008F7D8B"/>
    <w:rsid w:val="0090212E"/>
    <w:rsid w:val="00912E16"/>
    <w:rsid w:val="009217DB"/>
    <w:rsid w:val="00931F6E"/>
    <w:rsid w:val="00952141"/>
    <w:rsid w:val="00973E4B"/>
    <w:rsid w:val="00977BC6"/>
    <w:rsid w:val="00981262"/>
    <w:rsid w:val="00983CEE"/>
    <w:rsid w:val="00990FBF"/>
    <w:rsid w:val="009A7003"/>
    <w:rsid w:val="009B0D1F"/>
    <w:rsid w:val="009D3780"/>
    <w:rsid w:val="009D59F4"/>
    <w:rsid w:val="00A468AC"/>
    <w:rsid w:val="00A540E6"/>
    <w:rsid w:val="00A71ED9"/>
    <w:rsid w:val="00AE0F94"/>
    <w:rsid w:val="00B479D0"/>
    <w:rsid w:val="00B60920"/>
    <w:rsid w:val="00B61539"/>
    <w:rsid w:val="00B6691E"/>
    <w:rsid w:val="00B757A9"/>
    <w:rsid w:val="00B8619A"/>
    <w:rsid w:val="00B93434"/>
    <w:rsid w:val="00B97923"/>
    <w:rsid w:val="00BA7AA6"/>
    <w:rsid w:val="00BC798A"/>
    <w:rsid w:val="00BD096C"/>
    <w:rsid w:val="00BE0BCE"/>
    <w:rsid w:val="00C02B61"/>
    <w:rsid w:val="00C0331B"/>
    <w:rsid w:val="00C27A38"/>
    <w:rsid w:val="00C27D87"/>
    <w:rsid w:val="00C471CC"/>
    <w:rsid w:val="00C5185E"/>
    <w:rsid w:val="00C5254E"/>
    <w:rsid w:val="00C70EF8"/>
    <w:rsid w:val="00C93074"/>
    <w:rsid w:val="00CB45C2"/>
    <w:rsid w:val="00CB5200"/>
    <w:rsid w:val="00CB63A5"/>
    <w:rsid w:val="00CD35FB"/>
    <w:rsid w:val="00CD733F"/>
    <w:rsid w:val="00CE7E33"/>
    <w:rsid w:val="00CF38AF"/>
    <w:rsid w:val="00D0576B"/>
    <w:rsid w:val="00D1098C"/>
    <w:rsid w:val="00D16FCF"/>
    <w:rsid w:val="00D26405"/>
    <w:rsid w:val="00D34173"/>
    <w:rsid w:val="00D377D0"/>
    <w:rsid w:val="00D60ECA"/>
    <w:rsid w:val="00D6291D"/>
    <w:rsid w:val="00D949BE"/>
    <w:rsid w:val="00DA12A6"/>
    <w:rsid w:val="00DA5C17"/>
    <w:rsid w:val="00DB0480"/>
    <w:rsid w:val="00DE6572"/>
    <w:rsid w:val="00DF79D1"/>
    <w:rsid w:val="00E10226"/>
    <w:rsid w:val="00E2183C"/>
    <w:rsid w:val="00E27ED3"/>
    <w:rsid w:val="00E32CB7"/>
    <w:rsid w:val="00E3308D"/>
    <w:rsid w:val="00E5611F"/>
    <w:rsid w:val="00E62E37"/>
    <w:rsid w:val="00E736B6"/>
    <w:rsid w:val="00E75B22"/>
    <w:rsid w:val="00E8305A"/>
    <w:rsid w:val="00E85677"/>
    <w:rsid w:val="00E972B6"/>
    <w:rsid w:val="00ED27FD"/>
    <w:rsid w:val="00EF5BCC"/>
    <w:rsid w:val="00F02C5C"/>
    <w:rsid w:val="00F034D9"/>
    <w:rsid w:val="00F13187"/>
    <w:rsid w:val="00F67ED4"/>
    <w:rsid w:val="00F77C88"/>
    <w:rsid w:val="00F917CD"/>
    <w:rsid w:val="00F97CA2"/>
    <w:rsid w:val="00FA17E9"/>
    <w:rsid w:val="00FA2F43"/>
    <w:rsid w:val="00FA6BE9"/>
    <w:rsid w:val="00FC48C6"/>
    <w:rsid w:val="00FE201A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64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648"/>
    <w:pPr>
      <w:keepNext/>
      <w:keepLines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6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648"/>
    <w:rPr>
      <w:rFonts w:asciiTheme="minorHAnsi" w:eastAsiaTheme="majorEastAsia" w:hAnsiTheme="minorHAnsi" w:cstheme="minorHAnsi"/>
      <w:b/>
      <w:bCs/>
      <w:color w:val="31849B" w:themeColor="accent5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0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00648"/>
    <w:pPr>
      <w:ind w:left="720"/>
      <w:contextualSpacing/>
    </w:pPr>
  </w:style>
  <w:style w:type="character" w:styleId="Hyperlink">
    <w:name w:val="Hyperlink"/>
    <w:basedOn w:val="DefaultParagraphFont"/>
    <w:rsid w:val="00700648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7006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rsid w:val="0070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064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74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4E43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374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74E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64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648"/>
    <w:pPr>
      <w:keepNext/>
      <w:keepLines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6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648"/>
    <w:rPr>
      <w:rFonts w:asciiTheme="minorHAnsi" w:eastAsiaTheme="majorEastAsia" w:hAnsiTheme="minorHAnsi" w:cstheme="minorHAnsi"/>
      <w:b/>
      <w:bCs/>
      <w:color w:val="31849B" w:themeColor="accent5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0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00648"/>
    <w:pPr>
      <w:ind w:left="720"/>
      <w:contextualSpacing/>
    </w:pPr>
  </w:style>
  <w:style w:type="character" w:styleId="Hyperlink">
    <w:name w:val="Hyperlink"/>
    <w:basedOn w:val="DefaultParagraphFont"/>
    <w:rsid w:val="00700648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7006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rsid w:val="0070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064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74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4E43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374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74E4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sc.gov.au/privac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96F8F644.dotm</Template>
  <TotalTime>0</TotalTime>
  <Pages>2</Pages>
  <Words>472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2015-02-02T23:20:00Z</dcterms:created>
  <dcterms:modified xsi:type="dcterms:W3CDTF">2015-02-02T23:20:00Z</dcterms:modified>
</cp:coreProperties>
</file>