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74" w:rsidRDefault="00241974" w:rsidP="00241974">
      <w:pPr>
        <w:pStyle w:val="Heading1"/>
      </w:pPr>
      <w:r>
        <w:t>Your personal information</w:t>
      </w:r>
    </w:p>
    <w:p w:rsidR="00241974" w:rsidRDefault="00241974" w:rsidP="00241974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41974" w:rsidRDefault="00C73767" w:rsidP="00241974">
      <w:pPr>
        <w:pStyle w:val="ListParagraph"/>
        <w:numPr>
          <w:ilvl w:val="0"/>
          <w:numId w:val="1"/>
        </w:numPr>
      </w:pPr>
      <w:hyperlink r:id="rId8" w:history="1">
        <w:r w:rsidR="00241974">
          <w:rPr>
            <w:rStyle w:val="Hyperlink"/>
          </w:rPr>
          <w:t>http://www.apsc.gov.au/privacy</w:t>
        </w:r>
      </w:hyperlink>
    </w:p>
    <w:p w:rsidR="00241974" w:rsidRDefault="00241974" w:rsidP="00241974">
      <w:r>
        <w:t>Further details about the collection of your personal information are provided below.</w:t>
      </w:r>
    </w:p>
    <w:tbl>
      <w:tblPr>
        <w:tblStyle w:val="LightList-Accent5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23"/>
        <w:gridCol w:w="6519"/>
      </w:tblGrid>
      <w:tr w:rsidR="00241974" w:rsidTr="00241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  <w:hideMark/>
          </w:tcPr>
          <w:p w:rsidR="00241974" w:rsidRDefault="00241974" w:rsidP="007B1CC9">
            <w:pPr>
              <w:pStyle w:val="Heading2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Capability Review Program – </w:t>
            </w:r>
            <w:r w:rsidR="007B1CC9">
              <w:rPr>
                <w:lang w:eastAsia="en-US"/>
              </w:rPr>
              <w:t xml:space="preserve">Interviewees and Workshop Participants </w:t>
            </w:r>
            <w:r>
              <w:rPr>
                <w:lang w:eastAsia="en-US"/>
              </w:rPr>
              <w:t>– APP 5 Notice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Who is collecting your personal information?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24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Your personal information is being collected by the Australian Public Service Commission. 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Collection of your personal information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 w:rsidP="00C7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Your personal information </w:t>
            </w:r>
            <w:r w:rsidR="00C73767">
              <w:rPr>
                <w:lang w:eastAsia="en-US"/>
              </w:rPr>
              <w:t>is collected through your participation in interviews and/or workshops.</w:t>
            </w:r>
          </w:p>
          <w:p w:rsidR="00C73767" w:rsidRDefault="00C73767" w:rsidP="00C7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C73767" w:rsidRDefault="00C73767" w:rsidP="00C7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US"/>
              </w:rPr>
              <w:t>The information collected may include your name; your role; your professional experience; and your opinions/observations relating to the agency being reviewed.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Authority for collection of personal information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Pr="008C0C6E" w:rsidRDefault="00241974" w:rsidP="008C0C6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C6E">
              <w:rPr>
                <w:rFonts w:asciiTheme="minorHAnsi" w:hAnsiTheme="minorHAnsi" w:cstheme="minorHAnsi"/>
                <w:sz w:val="22"/>
                <w:szCs w:val="22"/>
              </w:rPr>
              <w:t xml:space="preserve">The Australian Public Service Commissioner has a number of functions relating to the APS.  Your information is collected for the purpose of the Public Service Commissioner’s functions under the </w:t>
            </w:r>
            <w:r w:rsidRPr="008C0C6E">
              <w:rPr>
                <w:rFonts w:asciiTheme="minorHAnsi" w:hAnsiTheme="minorHAnsi" w:cstheme="minorHAnsi"/>
                <w:i/>
                <w:sz w:val="22"/>
                <w:szCs w:val="22"/>
              </w:rPr>
              <w:t>Public Service Act 1999</w:t>
            </w:r>
            <w:r w:rsidR="008C0C6E" w:rsidRPr="008C0C6E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bookmarkStart w:id="0" w:name="Citation"/>
            <w:r w:rsidR="008C0C6E" w:rsidRPr="008C0C6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Australian Public Service Commissioner’s Directions 2013</w:t>
            </w:r>
            <w:bookmarkEnd w:id="0"/>
            <w:r w:rsidR="008C0C6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Why does the Commission collect your personal information?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 w:rsidP="00246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The</w:t>
            </w:r>
            <w:r w:rsidR="007B1CC9">
              <w:rPr>
                <w:lang w:eastAsia="en-US"/>
              </w:rPr>
              <w:t xml:space="preserve"> Australian Public Service</w:t>
            </w:r>
            <w:r>
              <w:rPr>
                <w:lang w:eastAsia="en-US"/>
              </w:rPr>
              <w:t xml:space="preserve"> Commission col</w:t>
            </w:r>
            <w:r w:rsidR="008C0C6E">
              <w:rPr>
                <w:lang w:eastAsia="en-US"/>
              </w:rPr>
              <w:t>lects your personal information fo</w:t>
            </w:r>
            <w:r w:rsidR="002464A9">
              <w:rPr>
                <w:lang w:eastAsia="en-US"/>
              </w:rPr>
              <w:t xml:space="preserve">r the purposes of </w:t>
            </w:r>
            <w:r w:rsidR="00C73767">
              <w:rPr>
                <w:lang w:eastAsia="en-US"/>
              </w:rPr>
              <w:t>undertaking a Capability Review of an agency. The information you provide assists the team undertaking the review to develop findings on the</w:t>
            </w:r>
            <w:bookmarkStart w:id="1" w:name="_GoBack"/>
            <w:bookmarkEnd w:id="1"/>
            <w:r w:rsidR="00C73767">
              <w:rPr>
                <w:lang w:eastAsia="en-US"/>
              </w:rPr>
              <w:t xml:space="preserve"> organisational capability of the agency being reviewed.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What would happen if the Commission did not collect your personal information?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C73767" w:rsidP="00246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If this information was not collected, you would be unable to participate in the activities associated with a Capability Review (interviews/workshops).</w:t>
            </w:r>
            <w:r w:rsidR="00241974">
              <w:rPr>
                <w:lang w:eastAsia="en-US"/>
              </w:rPr>
              <w:t xml:space="preserve"> 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Who will the Commission disclose your personal information to?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 w:rsidP="00C7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Access to </w:t>
            </w:r>
            <w:r w:rsidR="002464A9">
              <w:rPr>
                <w:lang w:eastAsia="en-US"/>
              </w:rPr>
              <w:t xml:space="preserve">the information you provide will be limited to a small number of </w:t>
            </w:r>
            <w:r w:rsidR="007B1CC9">
              <w:rPr>
                <w:lang w:eastAsia="en-US"/>
              </w:rPr>
              <w:t xml:space="preserve">Australian Public Service </w:t>
            </w:r>
            <w:r w:rsidR="002464A9">
              <w:rPr>
                <w:lang w:eastAsia="en-US"/>
              </w:rPr>
              <w:t xml:space="preserve">Commission </w:t>
            </w:r>
            <w:r w:rsidR="00C73767">
              <w:rPr>
                <w:lang w:eastAsia="en-US"/>
              </w:rPr>
              <w:t xml:space="preserve">and agency </w:t>
            </w:r>
            <w:r w:rsidR="002464A9">
              <w:rPr>
                <w:lang w:eastAsia="en-US"/>
              </w:rPr>
              <w:t>staff working on the Capability Review Program</w:t>
            </w:r>
            <w:r w:rsidR="00C73767">
              <w:rPr>
                <w:lang w:eastAsia="en-US"/>
              </w:rPr>
              <w:t xml:space="preserve"> and the Senior Review Team engaged to undertake the review.</w:t>
            </w:r>
            <w:r w:rsidR="00C73767">
              <w:rPr>
                <w:lang w:eastAsia="en-US"/>
              </w:rPr>
              <w:br/>
              <w:t xml:space="preserve">Only de-identified information will be included in the final review report.  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Access to and correction of your personal information.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24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7B1CC9">
              <w:rPr>
                <w:lang w:eastAsia="en-US"/>
              </w:rPr>
              <w:t xml:space="preserve">Australian Public Service </w:t>
            </w:r>
            <w:r>
              <w:rPr>
                <w:lang w:eastAsia="en-US"/>
              </w:rPr>
              <w:t xml:space="preserve">Commission’s privacy policy contains information about how you may access and seek correction of personal information about you that is held by the </w:t>
            </w:r>
            <w:r w:rsidR="007B1CC9">
              <w:rPr>
                <w:lang w:eastAsia="en-US"/>
              </w:rPr>
              <w:t xml:space="preserve">Australian Public Service </w:t>
            </w:r>
            <w:r>
              <w:rPr>
                <w:lang w:eastAsia="en-US"/>
              </w:rPr>
              <w:t>Commission.</w:t>
            </w:r>
          </w:p>
        </w:tc>
      </w:tr>
      <w:tr w:rsidR="00241974" w:rsidTr="00241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t>Privacy complaints.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hideMark/>
          </w:tcPr>
          <w:p w:rsidR="00241974" w:rsidRDefault="0024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The</w:t>
            </w:r>
            <w:r w:rsidR="007B1CC9">
              <w:rPr>
                <w:lang w:eastAsia="en-US"/>
              </w:rPr>
              <w:t xml:space="preserve"> Australian Public Service</w:t>
            </w:r>
            <w:r>
              <w:rPr>
                <w:lang w:eastAsia="en-US"/>
              </w:rPr>
              <w:t xml:space="preserve"> Commission’s privacy policy contains information about how you may complain about a breach of the </w:t>
            </w:r>
            <w:r>
              <w:rPr>
                <w:lang w:eastAsia="en-US"/>
              </w:rPr>
              <w:lastRenderedPageBreak/>
              <w:t>Australian Privacy Principles and how the</w:t>
            </w:r>
            <w:r w:rsidR="007B1CC9">
              <w:rPr>
                <w:lang w:eastAsia="en-US"/>
              </w:rPr>
              <w:t xml:space="preserve"> Australian Public Service</w:t>
            </w:r>
            <w:r>
              <w:rPr>
                <w:lang w:eastAsia="en-US"/>
              </w:rPr>
              <w:t xml:space="preserve"> Commission will deal with complaints.</w:t>
            </w:r>
          </w:p>
        </w:tc>
      </w:tr>
      <w:tr w:rsidR="00241974" w:rsidTr="0024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il"/>
            </w:tcBorders>
            <w:hideMark/>
          </w:tcPr>
          <w:p w:rsidR="00241974" w:rsidRDefault="0024197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Overseas disclosure of your personal information.</w:t>
            </w:r>
          </w:p>
        </w:tc>
        <w:tc>
          <w:tcPr>
            <w:tcW w:w="6768" w:type="dxa"/>
            <w:tcBorders>
              <w:left w:val="nil"/>
            </w:tcBorders>
            <w:hideMark/>
          </w:tcPr>
          <w:p w:rsidR="00241974" w:rsidRDefault="0024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Your personal information will not be disclosed to any overseas recipients.</w:t>
            </w:r>
          </w:p>
        </w:tc>
      </w:tr>
    </w:tbl>
    <w:p w:rsidR="00221492" w:rsidRDefault="00221492"/>
    <w:sectPr w:rsidR="002214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67" w:rsidRDefault="00C73767" w:rsidP="00241974">
      <w:pPr>
        <w:spacing w:after="0" w:line="240" w:lineRule="auto"/>
      </w:pPr>
      <w:r>
        <w:separator/>
      </w:r>
    </w:p>
  </w:endnote>
  <w:endnote w:type="continuationSeparator" w:id="0">
    <w:p w:rsidR="00C73767" w:rsidRDefault="00C73767" w:rsidP="0024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67" w:rsidRDefault="00C73767" w:rsidP="00241974">
      <w:pPr>
        <w:spacing w:after="0" w:line="240" w:lineRule="auto"/>
      </w:pPr>
      <w:r>
        <w:separator/>
      </w:r>
    </w:p>
  </w:footnote>
  <w:footnote w:type="continuationSeparator" w:id="0">
    <w:p w:rsidR="00C73767" w:rsidRDefault="00C73767" w:rsidP="0024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67" w:rsidRDefault="00C73767">
    <w:pPr>
      <w:pStyle w:val="Header"/>
    </w:pPr>
    <w:r>
      <w:rPr>
        <w:noProof/>
      </w:rPr>
      <w:drawing>
        <wp:inline distT="0" distB="0" distL="0" distR="0" wp14:anchorId="573CE558" wp14:editId="5637485E">
          <wp:extent cx="3000375" cy="676275"/>
          <wp:effectExtent l="0" t="0" r="0" b="9525"/>
          <wp:docPr id="1" name="Picture 1" title="Australian Government: Australian Public Service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Australian Government: Australian Public Service Commiss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93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3767" w:rsidRDefault="00C73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2F3"/>
    <w:multiLevelType w:val="hybridMultilevel"/>
    <w:tmpl w:val="30EC33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74"/>
    <w:rsid w:val="00221492"/>
    <w:rsid w:val="00241974"/>
    <w:rsid w:val="002464A9"/>
    <w:rsid w:val="005764CB"/>
    <w:rsid w:val="007116F7"/>
    <w:rsid w:val="007B1CC9"/>
    <w:rsid w:val="007C03FA"/>
    <w:rsid w:val="00896D90"/>
    <w:rsid w:val="008C0C6E"/>
    <w:rsid w:val="00C73767"/>
    <w:rsid w:val="00D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74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974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974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974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41974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character" w:styleId="Hyperlink">
    <w:name w:val="Hyperlink"/>
    <w:basedOn w:val="DefaultParagraphFont"/>
    <w:semiHidden/>
    <w:unhideWhenUsed/>
    <w:rsid w:val="00241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97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241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74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74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74"/>
    <w:rPr>
      <w:rFonts w:eastAsiaTheme="minorEastAsia"/>
      <w:lang w:eastAsia="en-AU"/>
    </w:rPr>
  </w:style>
  <w:style w:type="paragraph" w:styleId="Title">
    <w:name w:val="Title"/>
    <w:basedOn w:val="Normal"/>
    <w:link w:val="TitleChar"/>
    <w:uiPriority w:val="10"/>
    <w:qFormat/>
    <w:rsid w:val="008C0C6E"/>
    <w:pPr>
      <w:keepLine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0C6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74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974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974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974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41974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character" w:styleId="Hyperlink">
    <w:name w:val="Hyperlink"/>
    <w:basedOn w:val="DefaultParagraphFont"/>
    <w:semiHidden/>
    <w:unhideWhenUsed/>
    <w:rsid w:val="00241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97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241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74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74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74"/>
    <w:rPr>
      <w:rFonts w:eastAsiaTheme="minorEastAsia"/>
      <w:lang w:eastAsia="en-AU"/>
    </w:rPr>
  </w:style>
  <w:style w:type="paragraph" w:styleId="Title">
    <w:name w:val="Title"/>
    <w:basedOn w:val="Normal"/>
    <w:link w:val="TitleChar"/>
    <w:uiPriority w:val="10"/>
    <w:qFormat/>
    <w:rsid w:val="008C0C6E"/>
    <w:pPr>
      <w:keepLine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0C6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849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6A87DD77.dotm</Template>
  <TotalTime>13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Rooney</dc:creator>
  <cp:lastModifiedBy>Michelle Rooney</cp:lastModifiedBy>
  <cp:revision>3</cp:revision>
  <cp:lastPrinted>2014-02-26T02:29:00Z</cp:lastPrinted>
  <dcterms:created xsi:type="dcterms:W3CDTF">2014-05-22T01:37:00Z</dcterms:created>
  <dcterms:modified xsi:type="dcterms:W3CDTF">2014-05-22T01:49:00Z</dcterms:modified>
</cp:coreProperties>
</file>