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1C629A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A621EA" w:rsidRPr="00A621EA" w:rsidTr="00A6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A621EA" w:rsidRPr="00A621EA" w:rsidRDefault="00A621EA" w:rsidP="001C629A">
            <w:pPr>
              <w:pStyle w:val="Heading2"/>
              <w:outlineLvl w:val="1"/>
            </w:pPr>
            <w:proofErr w:type="spellStart"/>
            <w:r w:rsidRPr="00A621EA">
              <w:rPr>
                <w:bCs/>
              </w:rPr>
              <w:t>SCLLD</w:t>
            </w:r>
            <w:proofErr w:type="spellEnd"/>
            <w:r w:rsidRPr="00A621EA">
              <w:rPr>
                <w:bCs/>
              </w:rPr>
              <w:t xml:space="preserve"> </w:t>
            </w:r>
            <w:r w:rsidR="00A6598E">
              <w:rPr>
                <w:bCs/>
              </w:rPr>
              <w:t>Program Registration (</w:t>
            </w:r>
            <w:bookmarkStart w:id="0" w:name="_GoBack"/>
            <w:r w:rsidR="001C629A">
              <w:rPr>
                <w:bCs/>
              </w:rPr>
              <w:t>Sir Roland Wilson – successful applications</w:t>
            </w:r>
            <w:bookmarkEnd w:id="0"/>
            <w:r w:rsidR="00A6598E">
              <w:rPr>
                <w:bCs/>
              </w:rPr>
              <w:t>) – APP 5 Notice</w:t>
            </w:r>
          </w:p>
        </w:tc>
      </w:tr>
      <w:tr w:rsidR="00460AFC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A621EA">
            <w:pPr>
              <w:keepLines w:val="0"/>
              <w:suppressAutoHyphens w:val="0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000">
              <w:t>Your personal information is being collected by the Australian Public Service Commission.  The Commission’s contact details are nationalcalendarteam@apsc.gov.au.</w:t>
            </w:r>
          </w:p>
        </w:tc>
      </w:tr>
      <w:tr w:rsidR="00460AFC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A621EA">
            <w:pPr>
              <w:keepLines w:val="0"/>
              <w:suppressAutoHyphens w:val="0"/>
            </w:pPr>
            <w:r w:rsidRPr="00A621EA">
              <w:t>Collection of your personal information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000">
              <w:t>Your personal information was provided by your agency in the form of a program application form.  Additionall</w:t>
            </w:r>
            <w:r>
              <w:t xml:space="preserve">y, further information may have </w:t>
            </w:r>
            <w:r w:rsidRPr="00440000">
              <w:t>been provided by you in the form of a biography, curriculum vitae, email or verbal conversation.</w:t>
            </w:r>
          </w:p>
        </w:tc>
      </w:tr>
      <w:tr w:rsidR="00460AFC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A621EA">
            <w:pPr>
              <w:keepLines w:val="0"/>
              <w:suppressAutoHyphens w:val="0"/>
            </w:pPr>
            <w:r w:rsidRPr="00A621EA">
              <w:t>Authority for collection of personal information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The Australian Public Service Commissioner has a number of functions relating to the APS.  </w:t>
            </w:r>
            <w:r>
              <w:t xml:space="preserve">Your information is collected for the purpose of the Public Service Commissioner’s functions under the </w:t>
            </w:r>
            <w:r w:rsidRPr="00460AFC">
              <w:rPr>
                <w:i/>
              </w:rPr>
              <w:t>Public Service Act 1999</w:t>
            </w:r>
            <w:r>
              <w:t>, which include coordinating and supporting APS-wide training and career development opportunities and fostering leadership and reporting on the State of the Service.</w:t>
            </w:r>
          </w:p>
        </w:tc>
      </w:tr>
      <w:tr w:rsidR="00057031" w:rsidRPr="00A621EA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:rsidR="00057031" w:rsidRPr="006A7E26" w:rsidRDefault="00460AFC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AFC">
              <w:t xml:space="preserve">Your personal information is used for program administration purposes and to assist with statistical analysis and evaluation of programs.  </w:t>
            </w:r>
          </w:p>
        </w:tc>
      </w:tr>
      <w:tr w:rsidR="00460AFC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A621EA">
            <w:pPr>
              <w:keepLines w:val="0"/>
              <w:suppressAutoHyphens w:val="0"/>
            </w:pPr>
            <w:r w:rsidRPr="00A621EA">
              <w:t>What would happen if the Commission did not collect your personal information?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If the Commission did not collect your personal information, you would be unable to participate in </w:t>
            </w:r>
            <w:r>
              <w:t>the Sir Roland Wilson PhD Scholarship.</w:t>
            </w:r>
          </w:p>
        </w:tc>
      </w:tr>
      <w:tr w:rsidR="00057031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:rsidR="00460AFC" w:rsidRDefault="00460AFC" w:rsidP="00460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000">
              <w:t>Your information will be used for administration, statistical analysis and evaluation of programs. Some details may be disclosed to your home agency for</w:t>
            </w:r>
            <w:r>
              <w:t xml:space="preserve"> administrative and statistical </w:t>
            </w:r>
            <w:r w:rsidRPr="00440000">
              <w:t>monitoring purposes. Your information may also be disclosed</w:t>
            </w:r>
            <w:r>
              <w:t xml:space="preserve"> to third party bodies</w:t>
            </w:r>
            <w:r w:rsidRPr="00440000">
              <w:t xml:space="preserve"> for the purpose of program administration or reporting.     </w:t>
            </w:r>
          </w:p>
          <w:p w:rsidR="00057031" w:rsidRPr="006A7E26" w:rsidRDefault="00460AFC" w:rsidP="00460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000">
              <w:t>Some personal information such as your biography and/or information rela</w:t>
            </w:r>
            <w:r>
              <w:t xml:space="preserve">ting to the progress of </w:t>
            </w:r>
            <w:r w:rsidRPr="00440000">
              <w:t>participants undertaking the program may appear on the Sir Roland and the APSC websites.  Personal contact details will not be disclosed via these websites.</w:t>
            </w:r>
          </w:p>
        </w:tc>
      </w:tr>
      <w:tr w:rsidR="00460AFC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A621EA">
            <w:pPr>
              <w:keepLines w:val="0"/>
              <w:suppressAutoHyphens w:val="0"/>
            </w:pPr>
            <w:r w:rsidRPr="00A621EA">
              <w:t>Access to and correction of your personal information.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460AFC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A621EA">
            <w:pPr>
              <w:keepLines w:val="0"/>
              <w:suppressAutoHyphens w:val="0"/>
            </w:pPr>
            <w:r>
              <w:lastRenderedPageBreak/>
              <w:t>Privacy complaints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E26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460AFC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460AFC" w:rsidRPr="00A621EA" w:rsidRDefault="00460AFC" w:rsidP="000C2F4F">
            <w:pPr>
              <w:keepLines w:val="0"/>
              <w:suppressAutoHyphens w:val="0"/>
            </w:pPr>
            <w:r w:rsidRPr="00A621EA">
              <w:t>Overseas disclosure of your personal information</w:t>
            </w:r>
          </w:p>
        </w:tc>
        <w:tc>
          <w:tcPr>
            <w:tcW w:w="6537" w:type="dxa"/>
          </w:tcPr>
          <w:p w:rsidR="00460AFC" w:rsidRPr="006A7E26" w:rsidRDefault="00460AFC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It is not likely that your personal infor</w:t>
            </w:r>
            <w:r>
              <w:t xml:space="preserve">mation will be disclosed to </w:t>
            </w:r>
            <w:r w:rsidRPr="006A7E26">
              <w:t>overseas recipients</w:t>
            </w:r>
            <w:r>
              <w:t>.  However, under the circumstances where you are travelling overseas to complete a task related to the Sir Roland Wilson PhD Scholarship your details may be provided to third parties for booking purposes or during emergency situations.</w:t>
            </w:r>
          </w:p>
        </w:tc>
      </w:tr>
    </w:tbl>
    <w:p w:rsidR="00FA7342" w:rsidRDefault="00FA7342" w:rsidP="005A6EE9"/>
    <w:sectPr w:rsidR="00FA7342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57031"/>
    <w:rsid w:val="00095295"/>
    <w:rsid w:val="000C2F4F"/>
    <w:rsid w:val="00117621"/>
    <w:rsid w:val="001C629A"/>
    <w:rsid w:val="002C3102"/>
    <w:rsid w:val="003A5C04"/>
    <w:rsid w:val="0044255A"/>
    <w:rsid w:val="00460AFC"/>
    <w:rsid w:val="005A6EE9"/>
    <w:rsid w:val="0062496E"/>
    <w:rsid w:val="006D119A"/>
    <w:rsid w:val="006E1648"/>
    <w:rsid w:val="006E57A1"/>
    <w:rsid w:val="006F368E"/>
    <w:rsid w:val="008B1955"/>
    <w:rsid w:val="00A621EA"/>
    <w:rsid w:val="00A6598E"/>
    <w:rsid w:val="00DF5A77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5241EF11.dotm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Kennedy,Felicity</dc:creator>
  <cp:lastModifiedBy>Felicity Kennedy</cp:lastModifiedBy>
  <cp:revision>3</cp:revision>
  <dcterms:created xsi:type="dcterms:W3CDTF">2014-03-04T02:24:00Z</dcterms:created>
  <dcterms:modified xsi:type="dcterms:W3CDTF">2014-03-04T22:49:00Z</dcterms:modified>
</cp:coreProperties>
</file>