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67" w:rsidRPr="009257A5" w:rsidRDefault="00051F67" w:rsidP="009257A5">
      <w:pPr>
        <w:pStyle w:val="Heading1"/>
      </w:pPr>
      <w:r w:rsidRPr="009257A5">
        <w:t>APS Executive Remuneration Management Policy</w:t>
      </w:r>
    </w:p>
    <w:p w:rsidR="00051F67" w:rsidRPr="00AD1DFD" w:rsidRDefault="00051F67" w:rsidP="009257A5">
      <w:pPr>
        <w:pStyle w:val="Heading2"/>
      </w:pPr>
      <w:r w:rsidRPr="009257A5">
        <w:t>Overview</w:t>
      </w:r>
    </w:p>
    <w:p w:rsidR="00051F67" w:rsidRPr="00AD1DFD" w:rsidRDefault="00051F67" w:rsidP="00E229A5">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The APS Executive Remuneration Management Policy (the policy) sets out arrangements for the management of executive remuneration, including an approval process for remuneration proposals above a notional amount.</w:t>
      </w:r>
    </w:p>
    <w:p w:rsidR="00087250" w:rsidRPr="00AD1DFD" w:rsidRDefault="00087250" w:rsidP="009257A5">
      <w:pPr>
        <w:pStyle w:val="Heading2"/>
      </w:pPr>
      <w:r w:rsidRPr="00AD1DFD">
        <w:t xml:space="preserve">Policy </w:t>
      </w:r>
      <w:r w:rsidR="009257A5">
        <w:t>o</w:t>
      </w:r>
      <w:r w:rsidRPr="00AD1DFD">
        <w:t>bjectives</w:t>
      </w:r>
    </w:p>
    <w:p w:rsidR="00087250" w:rsidRPr="00AD1DFD" w:rsidRDefault="00087250" w:rsidP="00087250">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To maintain appropriate pay relativity between Secretaries and the most senior members of the SES and other staff to better reflect their respective roles and responsibilities, in accordance with the Remuneration Tribunal</w:t>
      </w:r>
      <w:r w:rsidR="0099197B" w:rsidRPr="00AD1DFD">
        <w:rPr>
          <w:rFonts w:asciiTheme="minorHAnsi" w:hAnsiTheme="minorHAnsi" w:cstheme="minorHAnsi"/>
        </w:rPr>
        <w:t xml:space="preserve">’s </w:t>
      </w:r>
      <w:hyperlink r:id="rId8" w:history="1">
        <w:r w:rsidR="0099197B" w:rsidRPr="00AD1DFD">
          <w:rPr>
            <w:rStyle w:val="Hyperlink"/>
            <w:rFonts w:asciiTheme="minorHAnsi" w:hAnsiTheme="minorHAnsi" w:cstheme="minorHAnsi"/>
          </w:rPr>
          <w:t>Review of Secretaries</w:t>
        </w:r>
        <w:r w:rsidR="0071764B" w:rsidRPr="00AD1DFD">
          <w:rPr>
            <w:rStyle w:val="Hyperlink"/>
            <w:rFonts w:asciiTheme="minorHAnsi" w:hAnsiTheme="minorHAnsi" w:cstheme="minorHAnsi"/>
          </w:rPr>
          <w:t>’</w:t>
        </w:r>
        <w:r w:rsidR="0099197B" w:rsidRPr="00AD1DFD">
          <w:rPr>
            <w:rStyle w:val="Hyperlink"/>
            <w:rFonts w:asciiTheme="minorHAnsi" w:hAnsiTheme="minorHAnsi" w:cstheme="minorHAnsi"/>
          </w:rPr>
          <w:t xml:space="preserve"> Remuneration</w:t>
        </w:r>
      </w:hyperlink>
      <w:r w:rsidRPr="00AD1DFD">
        <w:rPr>
          <w:rFonts w:asciiTheme="minorHAnsi" w:hAnsiTheme="minorHAnsi" w:cstheme="minorHAnsi"/>
        </w:rPr>
        <w:t>.</w:t>
      </w:r>
    </w:p>
    <w:p w:rsidR="00087250" w:rsidRPr="00AD1DFD" w:rsidRDefault="00087250" w:rsidP="004D3392">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 xml:space="preserve">To support the Government’s </w:t>
      </w:r>
      <w:hyperlink r:id="rId9" w:history="1">
        <w:r w:rsidR="00B82DE0" w:rsidRPr="00B82DE0">
          <w:rPr>
            <w:rStyle w:val="Hyperlink"/>
            <w:rFonts w:asciiTheme="minorHAnsi" w:hAnsiTheme="minorHAnsi" w:cstheme="minorHAnsi"/>
          </w:rPr>
          <w:t>Public Sector Workplace Relations Policy 2020</w:t>
        </w:r>
      </w:hyperlink>
      <w:r w:rsidR="00B82DE0" w:rsidRPr="00B82DE0">
        <w:rPr>
          <w:rFonts w:asciiTheme="minorHAnsi" w:hAnsiTheme="minorHAnsi" w:cstheme="minorHAnsi"/>
        </w:rPr>
        <w:t xml:space="preserve"> that assists Australian Government public sector entities in creating workplace arrangements that enable sustainable, high performing public sector workplaces.</w:t>
      </w:r>
    </w:p>
    <w:p w:rsidR="00051F67" w:rsidRPr="00AD1DFD" w:rsidRDefault="00051F67" w:rsidP="009257A5">
      <w:pPr>
        <w:pStyle w:val="Heading2"/>
      </w:pPr>
      <w:r w:rsidRPr="00AD1DFD">
        <w:t xml:space="preserve">Key </w:t>
      </w:r>
      <w:r w:rsidR="009257A5">
        <w:t>p</w:t>
      </w:r>
      <w:r w:rsidRPr="00AD1DFD">
        <w:t>oints</w:t>
      </w:r>
    </w:p>
    <w:p w:rsidR="00EC3047" w:rsidRPr="00AD1DFD" w:rsidRDefault="00051F67" w:rsidP="00E229A5">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 xml:space="preserve">The policy </w:t>
      </w:r>
      <w:r w:rsidR="003B65A7" w:rsidRPr="00AD1DFD">
        <w:rPr>
          <w:rFonts w:asciiTheme="minorHAnsi" w:hAnsiTheme="minorHAnsi" w:cstheme="minorHAnsi"/>
        </w:rPr>
        <w:t xml:space="preserve">applies to all staff employed under </w:t>
      </w:r>
      <w:r w:rsidRPr="00AD1DFD">
        <w:rPr>
          <w:rFonts w:asciiTheme="minorHAnsi" w:hAnsiTheme="minorHAnsi" w:cstheme="minorHAnsi"/>
        </w:rPr>
        <w:t xml:space="preserve">the </w:t>
      </w:r>
      <w:r w:rsidRPr="00AD1DFD">
        <w:rPr>
          <w:rFonts w:asciiTheme="minorHAnsi" w:hAnsiTheme="minorHAnsi" w:cstheme="minorHAnsi"/>
          <w:i/>
        </w:rPr>
        <w:t>Public Service Act 1999</w:t>
      </w:r>
      <w:r w:rsidRPr="00AD1DFD">
        <w:rPr>
          <w:rFonts w:asciiTheme="minorHAnsi" w:hAnsiTheme="minorHAnsi" w:cstheme="minorHAnsi"/>
        </w:rPr>
        <w:t>.</w:t>
      </w:r>
    </w:p>
    <w:p w:rsidR="00293434" w:rsidRPr="00AD1DFD" w:rsidRDefault="00051F67" w:rsidP="003B65A7">
      <w:pPr>
        <w:pStyle w:val="ListParagraph"/>
        <w:numPr>
          <w:ilvl w:val="1"/>
          <w:numId w:val="8"/>
        </w:numPr>
        <w:spacing w:before="240" w:after="120"/>
        <w:contextualSpacing w:val="0"/>
        <w:rPr>
          <w:rFonts w:asciiTheme="minorHAnsi" w:hAnsiTheme="minorHAnsi" w:cstheme="minorHAnsi"/>
        </w:rPr>
      </w:pPr>
      <w:r w:rsidRPr="00AD1DFD">
        <w:rPr>
          <w:rFonts w:asciiTheme="minorHAnsi" w:hAnsiTheme="minorHAnsi" w:cstheme="minorHAnsi"/>
        </w:rPr>
        <w:t xml:space="preserve">Agency </w:t>
      </w:r>
      <w:r w:rsidR="008E0F7E" w:rsidRPr="00AD1DFD">
        <w:rPr>
          <w:rFonts w:asciiTheme="minorHAnsi" w:hAnsiTheme="minorHAnsi" w:cstheme="minorHAnsi"/>
        </w:rPr>
        <w:t>h</w:t>
      </w:r>
      <w:r w:rsidRPr="00AD1DFD">
        <w:rPr>
          <w:rFonts w:asciiTheme="minorHAnsi" w:hAnsiTheme="minorHAnsi" w:cstheme="minorHAnsi"/>
        </w:rPr>
        <w:t xml:space="preserve">eads are required to obtain approval from the </w:t>
      </w:r>
      <w:r w:rsidR="00A03520" w:rsidRPr="00AD1DFD">
        <w:rPr>
          <w:rFonts w:asciiTheme="minorHAnsi" w:hAnsiTheme="minorHAnsi" w:cstheme="minorHAnsi"/>
        </w:rPr>
        <w:t xml:space="preserve">Australian </w:t>
      </w:r>
      <w:r w:rsidRPr="00AD1DFD">
        <w:rPr>
          <w:rFonts w:asciiTheme="minorHAnsi" w:hAnsiTheme="minorHAnsi" w:cstheme="minorHAnsi"/>
        </w:rPr>
        <w:t>Public Service Commissioner (the Commissioner) before they offer any SES or non-SES employee a remuneration package valued in excess of the notional amount.</w:t>
      </w:r>
      <w:r w:rsidR="003B65A7" w:rsidRPr="00AD1DFD">
        <w:rPr>
          <w:rFonts w:asciiTheme="minorHAnsi" w:hAnsiTheme="minorHAnsi" w:cstheme="minorHAnsi"/>
        </w:rPr>
        <w:t xml:space="preserve"> </w:t>
      </w:r>
    </w:p>
    <w:p w:rsidR="00051F67" w:rsidRPr="00AD1DFD" w:rsidRDefault="005C7D0D" w:rsidP="00E229A5">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R</w:t>
      </w:r>
      <w:r w:rsidR="00C45A4C" w:rsidRPr="00AD1DFD">
        <w:rPr>
          <w:rFonts w:asciiTheme="minorHAnsi" w:hAnsiTheme="minorHAnsi" w:cstheme="minorHAnsi"/>
        </w:rPr>
        <w:t>emuneration</w:t>
      </w:r>
      <w:r w:rsidR="005E2B70" w:rsidRPr="00AD1DFD">
        <w:rPr>
          <w:rFonts w:asciiTheme="minorHAnsi" w:hAnsiTheme="minorHAnsi" w:cstheme="minorHAnsi"/>
        </w:rPr>
        <w:t xml:space="preserve"> arrangements </w:t>
      </w:r>
      <w:r w:rsidR="00051F67" w:rsidRPr="00AD1DFD">
        <w:rPr>
          <w:rFonts w:asciiTheme="minorHAnsi" w:hAnsiTheme="minorHAnsi" w:cstheme="minorHAnsi"/>
        </w:rPr>
        <w:t xml:space="preserve">that </w:t>
      </w:r>
      <w:r w:rsidR="00C45A4C" w:rsidRPr="00AD1DFD">
        <w:rPr>
          <w:rFonts w:asciiTheme="minorHAnsi" w:hAnsiTheme="minorHAnsi" w:cstheme="minorHAnsi"/>
        </w:rPr>
        <w:t>were endorsed under the interim policy, will remain grandfathered</w:t>
      </w:r>
      <w:r w:rsidR="00051F67" w:rsidRPr="00AD1DFD">
        <w:rPr>
          <w:rFonts w:asciiTheme="minorHAnsi" w:hAnsiTheme="minorHAnsi" w:cstheme="minorHAnsi"/>
        </w:rPr>
        <w:t xml:space="preserve"> provided future pay increases are consistent with Government policy as set out i</w:t>
      </w:r>
      <w:r w:rsidR="00155B95" w:rsidRPr="00AD1DFD">
        <w:rPr>
          <w:rFonts w:asciiTheme="minorHAnsi" w:hAnsiTheme="minorHAnsi" w:cstheme="minorHAnsi"/>
        </w:rPr>
        <w:t xml:space="preserve">n the </w:t>
      </w:r>
      <w:r w:rsidR="009D5559" w:rsidRPr="00AD1DFD">
        <w:rPr>
          <w:rFonts w:asciiTheme="minorHAnsi" w:hAnsiTheme="minorHAnsi" w:cstheme="minorHAnsi"/>
        </w:rPr>
        <w:t>Workplace </w:t>
      </w:r>
      <w:r w:rsidR="00155B95" w:rsidRPr="00AD1DFD">
        <w:rPr>
          <w:rFonts w:asciiTheme="minorHAnsi" w:hAnsiTheme="minorHAnsi" w:cstheme="minorHAnsi"/>
        </w:rPr>
        <w:t xml:space="preserve">Bargaining </w:t>
      </w:r>
      <w:r w:rsidR="009D5559" w:rsidRPr="00AD1DFD">
        <w:rPr>
          <w:rFonts w:asciiTheme="minorHAnsi" w:hAnsiTheme="minorHAnsi" w:cstheme="minorHAnsi"/>
        </w:rPr>
        <w:t>Policy</w:t>
      </w:r>
      <w:r w:rsidR="00155B95" w:rsidRPr="00AD1DFD">
        <w:rPr>
          <w:rFonts w:asciiTheme="minorHAnsi" w:hAnsiTheme="minorHAnsi" w:cstheme="minorHAnsi"/>
        </w:rPr>
        <w:t xml:space="preserve">.  </w:t>
      </w:r>
      <w:r w:rsidR="00051F67" w:rsidRPr="00AD1DFD">
        <w:rPr>
          <w:rFonts w:asciiTheme="minorHAnsi" w:hAnsiTheme="minorHAnsi" w:cstheme="minorHAnsi"/>
        </w:rPr>
        <w:t xml:space="preserve">Should there be a substantial change in the individual’s role, for any reason, </w:t>
      </w:r>
      <w:r w:rsidR="00C45A4C" w:rsidRPr="00AD1DFD">
        <w:rPr>
          <w:rFonts w:asciiTheme="minorHAnsi" w:hAnsiTheme="minorHAnsi" w:cstheme="minorHAnsi"/>
        </w:rPr>
        <w:t>their</w:t>
      </w:r>
      <w:r w:rsidR="00051F67" w:rsidRPr="00AD1DFD">
        <w:rPr>
          <w:rFonts w:asciiTheme="minorHAnsi" w:hAnsiTheme="minorHAnsi" w:cstheme="minorHAnsi"/>
        </w:rPr>
        <w:t xml:space="preserve"> remuneration should be reconsidered under this policy.</w:t>
      </w:r>
    </w:p>
    <w:p w:rsidR="00051F67" w:rsidRPr="00AD1DFD" w:rsidRDefault="00051F67" w:rsidP="009257A5">
      <w:pPr>
        <w:pStyle w:val="Heading2"/>
      </w:pPr>
      <w:r w:rsidRPr="00AD1DFD">
        <w:t xml:space="preserve">Key </w:t>
      </w:r>
      <w:r w:rsidR="009257A5">
        <w:t>c</w:t>
      </w:r>
      <w:r w:rsidRPr="00AD1DFD">
        <w:t xml:space="preserve">onsiderations and </w:t>
      </w:r>
      <w:r w:rsidR="009257A5">
        <w:t>c</w:t>
      </w:r>
      <w:r w:rsidRPr="00AD1DFD">
        <w:t>onditions</w:t>
      </w:r>
    </w:p>
    <w:p w:rsidR="00051F67" w:rsidRPr="00AD1DFD" w:rsidRDefault="00F55B0E" w:rsidP="00E229A5">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 xml:space="preserve">It is anticipated that, other than in exceptional circumstances, </w:t>
      </w:r>
      <w:r w:rsidR="00051F67" w:rsidRPr="00AD1DFD">
        <w:rPr>
          <w:rFonts w:asciiTheme="minorHAnsi" w:hAnsiTheme="minorHAnsi" w:cstheme="minorHAnsi"/>
        </w:rPr>
        <w:t xml:space="preserve">the remuneration of </w:t>
      </w:r>
      <w:r w:rsidRPr="00AD1DFD">
        <w:rPr>
          <w:rFonts w:asciiTheme="minorHAnsi" w:hAnsiTheme="minorHAnsi" w:cstheme="minorHAnsi"/>
        </w:rPr>
        <w:t xml:space="preserve">any </w:t>
      </w:r>
      <w:r w:rsidR="00051F67" w:rsidRPr="00AD1DFD">
        <w:rPr>
          <w:rFonts w:asciiTheme="minorHAnsi" w:hAnsiTheme="minorHAnsi" w:cstheme="minorHAnsi"/>
        </w:rPr>
        <w:t xml:space="preserve">SES </w:t>
      </w:r>
      <w:r w:rsidRPr="00AD1DFD">
        <w:rPr>
          <w:rFonts w:asciiTheme="minorHAnsi" w:hAnsiTheme="minorHAnsi" w:cstheme="minorHAnsi"/>
        </w:rPr>
        <w:t>or non</w:t>
      </w:r>
      <w:r w:rsidRPr="00AD1DFD">
        <w:rPr>
          <w:rFonts w:asciiTheme="minorHAnsi" w:hAnsiTheme="minorHAnsi" w:cstheme="minorHAnsi"/>
        </w:rPr>
        <w:noBreakHyphen/>
      </w:r>
      <w:r w:rsidR="00051F67" w:rsidRPr="00AD1DFD">
        <w:rPr>
          <w:rFonts w:asciiTheme="minorHAnsi" w:hAnsiTheme="minorHAnsi" w:cstheme="minorHAnsi"/>
        </w:rPr>
        <w:t xml:space="preserve">SES employees </w:t>
      </w:r>
      <w:r w:rsidRPr="00AD1DFD">
        <w:rPr>
          <w:rFonts w:asciiTheme="minorHAnsi" w:hAnsiTheme="minorHAnsi" w:cstheme="minorHAnsi"/>
        </w:rPr>
        <w:t>will</w:t>
      </w:r>
      <w:r w:rsidR="00051F67" w:rsidRPr="00AD1DFD">
        <w:rPr>
          <w:rFonts w:asciiTheme="minorHAnsi" w:hAnsiTheme="minorHAnsi" w:cstheme="minorHAnsi"/>
        </w:rPr>
        <w:t xml:space="preserve"> not exceed the notional amount prescribed in this policy.</w:t>
      </w:r>
    </w:p>
    <w:p w:rsidR="00D776ED" w:rsidRPr="00AD1DFD" w:rsidRDefault="00051F67" w:rsidP="000C6E50">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 xml:space="preserve">Exceptions </w:t>
      </w:r>
      <w:r w:rsidR="00F55B0E" w:rsidRPr="00AD1DFD">
        <w:rPr>
          <w:rFonts w:asciiTheme="minorHAnsi" w:hAnsiTheme="minorHAnsi" w:cstheme="minorHAnsi"/>
        </w:rPr>
        <w:t>will</w:t>
      </w:r>
      <w:r w:rsidRPr="00AD1DFD">
        <w:rPr>
          <w:rFonts w:asciiTheme="minorHAnsi" w:hAnsiTheme="minorHAnsi" w:cstheme="minorHAnsi"/>
        </w:rPr>
        <w:t xml:space="preserve"> be considered by the Commissioner where compelling circumstances apply, </w:t>
      </w:r>
      <w:r w:rsidR="00D776ED" w:rsidRPr="00AD1DFD">
        <w:rPr>
          <w:rFonts w:asciiTheme="minorHAnsi" w:hAnsiTheme="minorHAnsi" w:cstheme="minorHAnsi"/>
        </w:rPr>
        <w:t xml:space="preserve">based on job weight </w:t>
      </w:r>
      <w:r w:rsidR="005B11A4" w:rsidRPr="00AD1DFD">
        <w:rPr>
          <w:rFonts w:asciiTheme="minorHAnsi" w:hAnsiTheme="minorHAnsi" w:cstheme="minorHAnsi"/>
        </w:rPr>
        <w:t>and/</w:t>
      </w:r>
      <w:r w:rsidR="00D776ED" w:rsidRPr="00AD1DFD">
        <w:rPr>
          <w:rFonts w:asciiTheme="minorHAnsi" w:hAnsiTheme="minorHAnsi" w:cstheme="minorHAnsi"/>
        </w:rPr>
        <w:t>or market factors</w:t>
      </w:r>
      <w:r w:rsidR="000C6E50" w:rsidRPr="00AD1DFD">
        <w:rPr>
          <w:rFonts w:asciiTheme="minorHAnsi" w:hAnsiTheme="minorHAnsi" w:cstheme="minorHAnsi"/>
        </w:rPr>
        <w:t>.  P</w:t>
      </w:r>
      <w:r w:rsidR="00D776ED" w:rsidRPr="00AD1DFD">
        <w:rPr>
          <w:rFonts w:asciiTheme="minorHAnsi" w:hAnsiTheme="minorHAnsi" w:cstheme="minorHAnsi"/>
        </w:rPr>
        <w:t xml:space="preserve">roposals need to be supported by </w:t>
      </w:r>
      <w:r w:rsidR="00CC7DE3" w:rsidRPr="00AD1DFD">
        <w:rPr>
          <w:rFonts w:asciiTheme="minorHAnsi" w:hAnsiTheme="minorHAnsi" w:cstheme="minorHAnsi"/>
        </w:rPr>
        <w:t>appropriate</w:t>
      </w:r>
      <w:r w:rsidR="00D776ED" w:rsidRPr="00AD1DFD">
        <w:rPr>
          <w:rFonts w:asciiTheme="minorHAnsi" w:hAnsiTheme="minorHAnsi" w:cstheme="minorHAnsi"/>
        </w:rPr>
        <w:t xml:space="preserve"> justification</w:t>
      </w:r>
      <w:r w:rsidR="000C6E50" w:rsidRPr="00AD1DFD">
        <w:rPr>
          <w:rFonts w:asciiTheme="minorHAnsi" w:hAnsiTheme="minorHAnsi" w:cstheme="minorHAnsi"/>
        </w:rPr>
        <w:t>, and w</w:t>
      </w:r>
      <w:r w:rsidR="00D776ED" w:rsidRPr="00AD1DFD">
        <w:rPr>
          <w:rFonts w:asciiTheme="minorHAnsi" w:hAnsiTheme="minorHAnsi" w:cstheme="minorHAnsi"/>
        </w:rPr>
        <w:t>here market forces are a factor in justifying the level of remuneration, it will be necessary to provide the market data relied on and any other relevant evidence supporting the proposal.</w:t>
      </w:r>
    </w:p>
    <w:p w:rsidR="00C968B3" w:rsidRPr="00AD1DFD" w:rsidRDefault="00C511A7" w:rsidP="00B77C85">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Proposals that seek to maintain a level of remuneration</w:t>
      </w:r>
      <w:r w:rsidR="00237A7D" w:rsidRPr="00AD1DFD">
        <w:rPr>
          <w:rFonts w:asciiTheme="minorHAnsi" w:hAnsiTheme="minorHAnsi" w:cstheme="minorHAnsi"/>
        </w:rPr>
        <w:t xml:space="preserve"> (s</w:t>
      </w:r>
      <w:r w:rsidR="00C968B3" w:rsidRPr="00AD1DFD">
        <w:rPr>
          <w:rFonts w:asciiTheme="minorHAnsi" w:hAnsiTheme="minorHAnsi" w:cstheme="minorHAnsi"/>
        </w:rPr>
        <w:t>alary maintenance</w:t>
      </w:r>
      <w:r w:rsidR="00237A7D" w:rsidRPr="00AD1DFD">
        <w:rPr>
          <w:rFonts w:asciiTheme="minorHAnsi" w:hAnsiTheme="minorHAnsi" w:cstheme="minorHAnsi"/>
        </w:rPr>
        <w:t>)</w:t>
      </w:r>
      <w:r w:rsidR="00C968B3" w:rsidRPr="00AD1DFD">
        <w:rPr>
          <w:rFonts w:asciiTheme="minorHAnsi" w:hAnsiTheme="minorHAnsi" w:cstheme="minorHAnsi"/>
        </w:rPr>
        <w:t xml:space="preserve"> e.g. in relation to engagements</w:t>
      </w:r>
      <w:r w:rsidR="00F55B0E" w:rsidRPr="00AD1DFD">
        <w:rPr>
          <w:rFonts w:asciiTheme="minorHAnsi" w:hAnsiTheme="minorHAnsi" w:cstheme="minorHAnsi"/>
        </w:rPr>
        <w:t xml:space="preserve"> of persons from outside the APS</w:t>
      </w:r>
      <w:r w:rsidR="00C968B3" w:rsidRPr="00AD1DFD">
        <w:rPr>
          <w:rFonts w:asciiTheme="minorHAnsi" w:hAnsiTheme="minorHAnsi" w:cstheme="minorHAnsi"/>
        </w:rPr>
        <w:t xml:space="preserve"> or employees moving between agencies</w:t>
      </w:r>
      <w:r w:rsidR="00633D8D" w:rsidRPr="00AD1DFD">
        <w:rPr>
          <w:rFonts w:asciiTheme="minorHAnsi" w:hAnsiTheme="minorHAnsi" w:cstheme="minorHAnsi"/>
        </w:rPr>
        <w:t>,</w:t>
      </w:r>
      <w:r w:rsidR="005B11A4" w:rsidRPr="00AD1DFD">
        <w:rPr>
          <w:rFonts w:asciiTheme="minorHAnsi" w:hAnsiTheme="minorHAnsi" w:cstheme="minorHAnsi"/>
        </w:rPr>
        <w:t xml:space="preserve"> </w:t>
      </w:r>
      <w:r w:rsidR="00C968B3" w:rsidRPr="00AD1DFD">
        <w:rPr>
          <w:rFonts w:asciiTheme="minorHAnsi" w:hAnsiTheme="minorHAnsi" w:cstheme="minorHAnsi"/>
        </w:rPr>
        <w:t>will not</w:t>
      </w:r>
      <w:r w:rsidR="00F55B0E" w:rsidRPr="00AD1DFD">
        <w:rPr>
          <w:rFonts w:asciiTheme="minorHAnsi" w:hAnsiTheme="minorHAnsi" w:cstheme="minorHAnsi"/>
        </w:rPr>
        <w:t xml:space="preserve"> </w:t>
      </w:r>
      <w:r w:rsidR="00A873C7" w:rsidRPr="00AD1DFD">
        <w:rPr>
          <w:rFonts w:asciiTheme="minorHAnsi" w:hAnsiTheme="minorHAnsi" w:cstheme="minorHAnsi"/>
        </w:rPr>
        <w:t xml:space="preserve">necessarily </w:t>
      </w:r>
      <w:r w:rsidR="00F55B0E" w:rsidRPr="00AD1DFD">
        <w:rPr>
          <w:rFonts w:asciiTheme="minorHAnsi" w:hAnsiTheme="minorHAnsi" w:cstheme="minorHAnsi"/>
        </w:rPr>
        <w:t>be sufficient to</w:t>
      </w:r>
      <w:r w:rsidR="00C968B3" w:rsidRPr="00AD1DFD">
        <w:rPr>
          <w:rFonts w:asciiTheme="minorHAnsi" w:hAnsiTheme="minorHAnsi" w:cstheme="minorHAnsi"/>
        </w:rPr>
        <w:t xml:space="preserve"> justify remuneration above the notional amount. </w:t>
      </w:r>
    </w:p>
    <w:p w:rsidR="00E53B10" w:rsidRPr="00AD1DFD" w:rsidRDefault="00E53B10" w:rsidP="00237A7D">
      <w:pPr>
        <w:pStyle w:val="ListParagraph"/>
        <w:numPr>
          <w:ilvl w:val="1"/>
          <w:numId w:val="8"/>
        </w:numPr>
        <w:spacing w:before="240" w:after="120"/>
        <w:contextualSpacing w:val="0"/>
        <w:rPr>
          <w:rFonts w:asciiTheme="minorHAnsi" w:hAnsiTheme="minorHAnsi" w:cstheme="minorHAnsi"/>
        </w:rPr>
      </w:pPr>
      <w:r w:rsidRPr="00AD1DFD">
        <w:rPr>
          <w:rFonts w:asciiTheme="minorHAnsi" w:hAnsiTheme="minorHAnsi" w:cstheme="minorHAnsi"/>
        </w:rPr>
        <w:t xml:space="preserve">Remuneration for Associate Secretary </w:t>
      </w:r>
      <w:proofErr w:type="gramStart"/>
      <w:r w:rsidRPr="00AD1DFD">
        <w:rPr>
          <w:rFonts w:asciiTheme="minorHAnsi" w:hAnsiTheme="minorHAnsi" w:cstheme="minorHAnsi"/>
        </w:rPr>
        <w:t>roles</w:t>
      </w:r>
      <w:proofErr w:type="gramEnd"/>
      <w:r w:rsidRPr="00AD1DFD">
        <w:rPr>
          <w:rFonts w:asciiTheme="minorHAnsi" w:hAnsiTheme="minorHAnsi" w:cstheme="minorHAnsi"/>
        </w:rPr>
        <w:t xml:space="preserve"> </w:t>
      </w:r>
      <w:r w:rsidR="00935447" w:rsidRPr="00AD1DFD">
        <w:rPr>
          <w:rFonts w:asciiTheme="minorHAnsi" w:hAnsiTheme="minorHAnsi" w:cstheme="minorHAnsi"/>
        </w:rPr>
        <w:t>will be considered</w:t>
      </w:r>
      <w:r w:rsidRPr="00AD1DFD">
        <w:rPr>
          <w:rFonts w:asciiTheme="minorHAnsi" w:hAnsiTheme="minorHAnsi" w:cstheme="minorHAnsi"/>
        </w:rPr>
        <w:t xml:space="preserve"> on a discretionary, case-by-case basis, in conjunction with the Secretary of the Department of </w:t>
      </w:r>
      <w:r w:rsidR="00075171" w:rsidRPr="00AD1DFD">
        <w:rPr>
          <w:rFonts w:asciiTheme="minorHAnsi" w:hAnsiTheme="minorHAnsi" w:cstheme="minorHAnsi"/>
        </w:rPr>
        <w:t xml:space="preserve">the </w:t>
      </w:r>
      <w:r w:rsidRPr="00AD1DFD">
        <w:rPr>
          <w:rFonts w:asciiTheme="minorHAnsi" w:hAnsiTheme="minorHAnsi" w:cstheme="minorHAnsi"/>
        </w:rPr>
        <w:t>Prime Minister and Cabinet.</w:t>
      </w:r>
    </w:p>
    <w:p w:rsidR="00051F67" w:rsidRPr="00AD1DFD" w:rsidRDefault="00F27BEA" w:rsidP="00E229A5">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 xml:space="preserve">Approvals relate to the occupant of a </w:t>
      </w:r>
      <w:r w:rsidR="005B11A4" w:rsidRPr="00AD1DFD">
        <w:rPr>
          <w:rFonts w:asciiTheme="minorHAnsi" w:hAnsiTheme="minorHAnsi" w:cstheme="minorHAnsi"/>
        </w:rPr>
        <w:t xml:space="preserve">particular </w:t>
      </w:r>
      <w:r w:rsidRPr="00AD1DFD">
        <w:rPr>
          <w:rFonts w:asciiTheme="minorHAnsi" w:hAnsiTheme="minorHAnsi" w:cstheme="minorHAnsi"/>
        </w:rPr>
        <w:t>role at a given time, and do not transfer to successors in th</w:t>
      </w:r>
      <w:r w:rsidR="005B11A4" w:rsidRPr="00AD1DFD">
        <w:rPr>
          <w:rFonts w:asciiTheme="minorHAnsi" w:hAnsiTheme="minorHAnsi" w:cstheme="minorHAnsi"/>
        </w:rPr>
        <w:t>at</w:t>
      </w:r>
      <w:r w:rsidRPr="00AD1DFD">
        <w:rPr>
          <w:rFonts w:asciiTheme="minorHAnsi" w:hAnsiTheme="minorHAnsi" w:cstheme="minorHAnsi"/>
        </w:rPr>
        <w:t xml:space="preserve"> role.  A new </w:t>
      </w:r>
      <w:r w:rsidR="00D832DA" w:rsidRPr="00AD1DFD">
        <w:rPr>
          <w:rFonts w:asciiTheme="minorHAnsi" w:hAnsiTheme="minorHAnsi" w:cstheme="minorHAnsi"/>
        </w:rPr>
        <w:t xml:space="preserve">proposal would be required when </w:t>
      </w:r>
      <w:r w:rsidR="00F55B0E" w:rsidRPr="00AD1DFD">
        <w:rPr>
          <w:rFonts w:asciiTheme="minorHAnsi" w:hAnsiTheme="minorHAnsi" w:cstheme="minorHAnsi"/>
        </w:rPr>
        <w:t>such a</w:t>
      </w:r>
      <w:r w:rsidR="00051F67" w:rsidRPr="00AD1DFD">
        <w:rPr>
          <w:rFonts w:asciiTheme="minorHAnsi" w:hAnsiTheme="minorHAnsi" w:cstheme="minorHAnsi"/>
        </w:rPr>
        <w:t xml:space="preserve"> role becomes vacant</w:t>
      </w:r>
      <w:r w:rsidR="00F55B0E" w:rsidRPr="00AD1DFD">
        <w:rPr>
          <w:rFonts w:asciiTheme="minorHAnsi" w:hAnsiTheme="minorHAnsi" w:cstheme="minorHAnsi"/>
        </w:rPr>
        <w:t>,</w:t>
      </w:r>
      <w:r w:rsidR="00051F67" w:rsidRPr="00AD1DFD">
        <w:rPr>
          <w:rFonts w:asciiTheme="minorHAnsi" w:hAnsiTheme="minorHAnsi" w:cstheme="minorHAnsi"/>
        </w:rPr>
        <w:t xml:space="preserve"> </w:t>
      </w:r>
      <w:r w:rsidR="00D832DA" w:rsidRPr="00AD1DFD">
        <w:rPr>
          <w:rFonts w:asciiTheme="minorHAnsi" w:hAnsiTheme="minorHAnsi" w:cstheme="minorHAnsi"/>
        </w:rPr>
        <w:t>and</w:t>
      </w:r>
      <w:r w:rsidR="00051F67" w:rsidRPr="00AD1DFD">
        <w:rPr>
          <w:rFonts w:asciiTheme="minorHAnsi" w:hAnsiTheme="minorHAnsi" w:cstheme="minorHAnsi"/>
        </w:rPr>
        <w:t xml:space="preserve"> the remuneration proposed exceeds the notional amount.</w:t>
      </w:r>
    </w:p>
    <w:p w:rsidR="00051F67" w:rsidRPr="00AD1DFD" w:rsidRDefault="00051F67" w:rsidP="00E229A5">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lastRenderedPageBreak/>
        <w:t xml:space="preserve">Where approval has been granted under this policy for remuneration above the notional amount, or grandfathered remuneration arrangements are in place, future annual pay increases are expected to comply with the </w:t>
      </w:r>
      <w:r w:rsidR="009D5559" w:rsidRPr="00AD1DFD">
        <w:rPr>
          <w:rFonts w:asciiTheme="minorHAnsi" w:hAnsiTheme="minorHAnsi" w:cstheme="minorHAnsi"/>
        </w:rPr>
        <w:t xml:space="preserve">Workplace </w:t>
      </w:r>
      <w:r w:rsidRPr="00AD1DFD">
        <w:rPr>
          <w:rFonts w:asciiTheme="minorHAnsi" w:hAnsiTheme="minorHAnsi" w:cstheme="minorHAnsi"/>
        </w:rPr>
        <w:t xml:space="preserve">Bargaining </w:t>
      </w:r>
      <w:r w:rsidR="009D5559" w:rsidRPr="00AD1DFD">
        <w:rPr>
          <w:rFonts w:asciiTheme="minorHAnsi" w:hAnsiTheme="minorHAnsi" w:cstheme="minorHAnsi"/>
        </w:rPr>
        <w:t>Policy</w:t>
      </w:r>
      <w:r w:rsidRPr="00AD1DFD">
        <w:rPr>
          <w:rFonts w:asciiTheme="minorHAnsi" w:hAnsiTheme="minorHAnsi" w:cstheme="minorHAnsi"/>
        </w:rPr>
        <w:t xml:space="preserve">. Any proposal </w:t>
      </w:r>
      <w:r w:rsidR="002317E9" w:rsidRPr="00AD1DFD">
        <w:rPr>
          <w:rFonts w:asciiTheme="minorHAnsi" w:hAnsiTheme="minorHAnsi" w:cstheme="minorHAnsi"/>
        </w:rPr>
        <w:t xml:space="preserve">to adjust the remuneration package beyond the </w:t>
      </w:r>
      <w:r w:rsidRPr="00AD1DFD">
        <w:rPr>
          <w:rFonts w:asciiTheme="minorHAnsi" w:hAnsiTheme="minorHAnsi" w:cstheme="minorHAnsi"/>
        </w:rPr>
        <w:t xml:space="preserve">parameters of the </w:t>
      </w:r>
      <w:r w:rsidR="009D5559" w:rsidRPr="00AD1DFD">
        <w:rPr>
          <w:rFonts w:asciiTheme="minorHAnsi" w:hAnsiTheme="minorHAnsi" w:cstheme="minorHAnsi"/>
        </w:rPr>
        <w:t xml:space="preserve">Workplace </w:t>
      </w:r>
      <w:r w:rsidRPr="00AD1DFD">
        <w:rPr>
          <w:rFonts w:asciiTheme="minorHAnsi" w:hAnsiTheme="minorHAnsi" w:cstheme="minorHAnsi"/>
        </w:rPr>
        <w:t xml:space="preserve">Bargaining </w:t>
      </w:r>
      <w:r w:rsidR="009D5559" w:rsidRPr="00AD1DFD">
        <w:rPr>
          <w:rFonts w:asciiTheme="minorHAnsi" w:hAnsiTheme="minorHAnsi" w:cstheme="minorHAnsi"/>
        </w:rPr>
        <w:t xml:space="preserve">Policy </w:t>
      </w:r>
      <w:r w:rsidR="002317E9" w:rsidRPr="00AD1DFD">
        <w:rPr>
          <w:rFonts w:asciiTheme="minorHAnsi" w:hAnsiTheme="minorHAnsi" w:cstheme="minorHAnsi"/>
        </w:rPr>
        <w:t xml:space="preserve">would </w:t>
      </w:r>
      <w:r w:rsidRPr="00AD1DFD">
        <w:rPr>
          <w:rFonts w:asciiTheme="minorHAnsi" w:hAnsiTheme="minorHAnsi" w:cstheme="minorHAnsi"/>
        </w:rPr>
        <w:t xml:space="preserve">require </w:t>
      </w:r>
      <w:r w:rsidR="002317E9" w:rsidRPr="00AD1DFD">
        <w:rPr>
          <w:rFonts w:asciiTheme="minorHAnsi" w:hAnsiTheme="minorHAnsi" w:cstheme="minorHAnsi"/>
        </w:rPr>
        <w:t>approval</w:t>
      </w:r>
      <w:r w:rsidR="009D5559" w:rsidRPr="00AD1DFD">
        <w:rPr>
          <w:rFonts w:asciiTheme="minorHAnsi" w:hAnsiTheme="minorHAnsi" w:cstheme="minorHAnsi"/>
        </w:rPr>
        <w:t xml:space="preserve"> in line with that Policy</w:t>
      </w:r>
      <w:r w:rsidRPr="00AD1DFD">
        <w:rPr>
          <w:rFonts w:asciiTheme="minorHAnsi" w:hAnsiTheme="minorHAnsi" w:cstheme="minorHAnsi"/>
        </w:rPr>
        <w:t>.</w:t>
      </w:r>
    </w:p>
    <w:p w:rsidR="00051F67" w:rsidRPr="00AD1DFD" w:rsidRDefault="00051F67" w:rsidP="00E229A5">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 xml:space="preserve">Former Secretaries employed under the </w:t>
      </w:r>
      <w:r w:rsidRPr="00AD1DFD">
        <w:rPr>
          <w:rFonts w:asciiTheme="minorHAnsi" w:hAnsiTheme="minorHAnsi" w:cstheme="minorHAnsi"/>
          <w:i/>
        </w:rPr>
        <w:t>Public Service Act 1999</w:t>
      </w:r>
      <w:r w:rsidRPr="00AD1DFD">
        <w:rPr>
          <w:rFonts w:asciiTheme="minorHAnsi" w:hAnsiTheme="minorHAnsi" w:cstheme="minorHAnsi"/>
        </w:rPr>
        <w:t xml:space="preserve"> on (full or partial) salary retention arrangements are exempt from these arrangements.</w:t>
      </w:r>
    </w:p>
    <w:p w:rsidR="00051F67" w:rsidRPr="00AD1DFD" w:rsidRDefault="00051F67" w:rsidP="009257A5">
      <w:pPr>
        <w:pStyle w:val="Heading2"/>
      </w:pPr>
      <w:r w:rsidRPr="00AD1DFD">
        <w:t xml:space="preserve">Approval </w:t>
      </w:r>
      <w:r w:rsidR="009257A5">
        <w:t>p</w:t>
      </w:r>
      <w:r w:rsidRPr="00AD1DFD">
        <w:t>rocess</w:t>
      </w:r>
    </w:p>
    <w:p w:rsidR="00067A70" w:rsidRPr="00AD1DFD" w:rsidRDefault="00067A70" w:rsidP="00B82DE0">
      <w:pPr>
        <w:pStyle w:val="ListParagraph"/>
        <w:numPr>
          <w:ilvl w:val="1"/>
          <w:numId w:val="8"/>
        </w:numPr>
        <w:spacing w:before="240" w:after="120"/>
        <w:contextualSpacing w:val="0"/>
        <w:rPr>
          <w:rFonts w:asciiTheme="minorHAnsi" w:hAnsiTheme="minorHAnsi" w:cstheme="minorHAnsi"/>
        </w:rPr>
      </w:pPr>
      <w:r w:rsidRPr="00AD1DFD">
        <w:rPr>
          <w:rFonts w:asciiTheme="minorHAnsi" w:hAnsiTheme="minorHAnsi" w:cstheme="minorHAnsi"/>
        </w:rPr>
        <w:t>Submissions for remuneration proposals above</w:t>
      </w:r>
      <w:r w:rsidR="00242029" w:rsidRPr="00AD1DFD">
        <w:rPr>
          <w:rFonts w:asciiTheme="minorHAnsi" w:hAnsiTheme="minorHAnsi" w:cstheme="minorHAnsi"/>
        </w:rPr>
        <w:t xml:space="preserve"> the notional amount</w:t>
      </w:r>
      <w:r w:rsidR="00062A83" w:rsidRPr="00AD1DFD">
        <w:rPr>
          <w:rFonts w:asciiTheme="minorHAnsi" w:hAnsiTheme="minorHAnsi" w:cstheme="minorHAnsi"/>
        </w:rPr>
        <w:t>, including var</w:t>
      </w:r>
      <w:r w:rsidR="00C9621D" w:rsidRPr="00AD1DFD">
        <w:rPr>
          <w:rFonts w:asciiTheme="minorHAnsi" w:hAnsiTheme="minorHAnsi" w:cstheme="minorHAnsi"/>
        </w:rPr>
        <w:t>i</w:t>
      </w:r>
      <w:r w:rsidR="00062A83" w:rsidRPr="00AD1DFD">
        <w:rPr>
          <w:rFonts w:asciiTheme="minorHAnsi" w:hAnsiTheme="minorHAnsi" w:cstheme="minorHAnsi"/>
        </w:rPr>
        <w:t xml:space="preserve">ations </w:t>
      </w:r>
      <w:r w:rsidR="00242029" w:rsidRPr="00AD1DFD">
        <w:rPr>
          <w:rFonts w:asciiTheme="minorHAnsi" w:hAnsiTheme="minorHAnsi" w:cstheme="minorHAnsi"/>
        </w:rPr>
        <w:t xml:space="preserve">to alter grandfathered arrangements, </w:t>
      </w:r>
      <w:r w:rsidRPr="00AD1DFD">
        <w:rPr>
          <w:rFonts w:asciiTheme="minorHAnsi" w:hAnsiTheme="minorHAnsi" w:cstheme="minorHAnsi"/>
        </w:rPr>
        <w:t xml:space="preserve">are to be signed by the agency head and forwarded to the Commissioner </w:t>
      </w:r>
      <w:r w:rsidR="00F55B0E" w:rsidRPr="00AD1DFD">
        <w:rPr>
          <w:rFonts w:asciiTheme="minorHAnsi" w:hAnsiTheme="minorHAnsi" w:cstheme="minorHAnsi"/>
        </w:rPr>
        <w:t>at</w:t>
      </w:r>
      <w:r w:rsidR="0099197B" w:rsidRPr="00AD1DFD">
        <w:rPr>
          <w:rStyle w:val="Hyperlink"/>
          <w:rFonts w:asciiTheme="minorHAnsi" w:hAnsiTheme="minorHAnsi" w:cstheme="minorHAnsi"/>
        </w:rPr>
        <w:t xml:space="preserve"> </w:t>
      </w:r>
      <w:hyperlink r:id="rId10" w:history="1">
        <w:r w:rsidR="00B82DE0" w:rsidRPr="00B82DE0">
          <w:rPr>
            <w:rStyle w:val="Hyperlink"/>
            <w:rFonts w:asciiTheme="minorHAnsi" w:hAnsiTheme="minorHAnsi" w:cstheme="minorHAnsi"/>
          </w:rPr>
          <w:t>ExecRemStatOffices@apsc.gov.au</w:t>
        </w:r>
      </w:hyperlink>
      <w:r w:rsidR="00B82DE0">
        <w:t xml:space="preserve"> </w:t>
      </w:r>
    </w:p>
    <w:p w:rsidR="00051F67" w:rsidRPr="00AD1DFD" w:rsidRDefault="00051F67" w:rsidP="005E78C2">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The detail of the proposal should be recorded on the</w:t>
      </w:r>
      <w:r w:rsidR="00EF6191" w:rsidRPr="00AD1DFD">
        <w:rPr>
          <w:rFonts w:asciiTheme="minorHAnsi" w:hAnsiTheme="minorHAnsi" w:cstheme="minorHAnsi"/>
          <w:i/>
        </w:rPr>
        <w:t xml:space="preserve"> APS Executive</w:t>
      </w:r>
      <w:r w:rsidRPr="00AD1DFD">
        <w:rPr>
          <w:rFonts w:asciiTheme="minorHAnsi" w:hAnsiTheme="minorHAnsi" w:cstheme="minorHAnsi"/>
          <w:i/>
        </w:rPr>
        <w:t xml:space="preserve"> Remuneration </w:t>
      </w:r>
      <w:r w:rsidR="00EF6191" w:rsidRPr="00AD1DFD">
        <w:rPr>
          <w:rFonts w:asciiTheme="minorHAnsi" w:hAnsiTheme="minorHAnsi" w:cstheme="minorHAnsi"/>
          <w:i/>
        </w:rPr>
        <w:t>p</w:t>
      </w:r>
      <w:r w:rsidRPr="00AD1DFD">
        <w:rPr>
          <w:rFonts w:asciiTheme="minorHAnsi" w:hAnsiTheme="minorHAnsi" w:cstheme="minorHAnsi"/>
          <w:i/>
        </w:rPr>
        <w:t>roposal form</w:t>
      </w:r>
      <w:r w:rsidRPr="00AD1DFD">
        <w:rPr>
          <w:rFonts w:asciiTheme="minorHAnsi" w:hAnsiTheme="minorHAnsi" w:cstheme="minorHAnsi"/>
        </w:rPr>
        <w:t xml:space="preserve"> </w:t>
      </w:r>
      <w:r w:rsidR="00D97E53" w:rsidRPr="00AD1DFD">
        <w:rPr>
          <w:rFonts w:asciiTheme="minorHAnsi" w:hAnsiTheme="minorHAnsi" w:cstheme="minorHAnsi"/>
        </w:rPr>
        <w:t xml:space="preserve">at Appendix 1, </w:t>
      </w:r>
      <w:r w:rsidRPr="00AD1DFD">
        <w:rPr>
          <w:rFonts w:asciiTheme="minorHAnsi" w:hAnsiTheme="minorHAnsi" w:cstheme="minorHAnsi"/>
        </w:rPr>
        <w:t>accompanied by evidence to support the level of Total Remuneration sought</w:t>
      </w:r>
      <w:r w:rsidR="00633D8D" w:rsidRPr="00AD1DFD">
        <w:rPr>
          <w:rFonts w:asciiTheme="minorHAnsi" w:hAnsiTheme="minorHAnsi" w:cstheme="minorHAnsi"/>
        </w:rPr>
        <w:t xml:space="preserve"> (refer to paragraph 4.2)</w:t>
      </w:r>
      <w:r w:rsidRPr="00AD1DFD">
        <w:rPr>
          <w:rFonts w:asciiTheme="minorHAnsi" w:hAnsiTheme="minorHAnsi" w:cstheme="minorHAnsi"/>
        </w:rPr>
        <w:t>.</w:t>
      </w:r>
    </w:p>
    <w:p w:rsidR="005C578E" w:rsidRPr="00AD1DFD" w:rsidRDefault="005C578E" w:rsidP="005E78C2">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Remuneration proposals are to be submitted in the following circumstances:</w:t>
      </w:r>
    </w:p>
    <w:p w:rsidR="00051F67" w:rsidRPr="00AD1DFD" w:rsidRDefault="005C578E" w:rsidP="0071764B">
      <w:pPr>
        <w:pStyle w:val="ListParagraph"/>
        <w:numPr>
          <w:ilvl w:val="2"/>
          <w:numId w:val="8"/>
        </w:numPr>
        <w:spacing w:before="240" w:after="120"/>
        <w:contextualSpacing w:val="0"/>
        <w:rPr>
          <w:rFonts w:asciiTheme="minorHAnsi" w:hAnsiTheme="minorHAnsi" w:cstheme="minorHAnsi"/>
        </w:rPr>
      </w:pPr>
      <w:r w:rsidRPr="00AD1DFD">
        <w:rPr>
          <w:rFonts w:asciiTheme="minorHAnsi" w:hAnsiTheme="minorHAnsi" w:cstheme="minorHAnsi"/>
        </w:rPr>
        <w:t xml:space="preserve">Following </w:t>
      </w:r>
      <w:r w:rsidR="00DD7C3A" w:rsidRPr="00AD1DFD">
        <w:rPr>
          <w:rFonts w:asciiTheme="minorHAnsi" w:hAnsiTheme="minorHAnsi" w:cstheme="minorHAnsi"/>
        </w:rPr>
        <w:t xml:space="preserve">the </w:t>
      </w:r>
      <w:r w:rsidR="0099197B" w:rsidRPr="00AD1DFD">
        <w:rPr>
          <w:rFonts w:asciiTheme="minorHAnsi" w:hAnsiTheme="minorHAnsi" w:cstheme="minorHAnsi"/>
        </w:rPr>
        <w:t xml:space="preserve">agency head’s approval </w:t>
      </w:r>
      <w:r w:rsidR="00DD7C3A" w:rsidRPr="00AD1DFD">
        <w:rPr>
          <w:rFonts w:asciiTheme="minorHAnsi" w:hAnsiTheme="minorHAnsi" w:cstheme="minorHAnsi"/>
        </w:rPr>
        <w:t xml:space="preserve">of </w:t>
      </w:r>
      <w:r w:rsidR="00051F67" w:rsidRPr="00AD1DFD">
        <w:rPr>
          <w:rFonts w:asciiTheme="minorHAnsi" w:hAnsiTheme="minorHAnsi" w:cstheme="minorHAnsi"/>
        </w:rPr>
        <w:t xml:space="preserve">an SES selection </w:t>
      </w:r>
      <w:r w:rsidR="00DD7C3A" w:rsidRPr="00AD1DFD">
        <w:rPr>
          <w:rFonts w:asciiTheme="minorHAnsi" w:hAnsiTheme="minorHAnsi" w:cstheme="minorHAnsi"/>
        </w:rPr>
        <w:t>decision</w:t>
      </w:r>
      <w:r w:rsidR="00051F67" w:rsidRPr="00AD1DFD">
        <w:rPr>
          <w:rFonts w:asciiTheme="minorHAnsi" w:hAnsiTheme="minorHAnsi" w:cstheme="minorHAnsi"/>
        </w:rPr>
        <w:t>.</w:t>
      </w:r>
    </w:p>
    <w:p w:rsidR="00051F67" w:rsidRPr="00AD1DFD" w:rsidRDefault="00051F67" w:rsidP="0071764B">
      <w:pPr>
        <w:pStyle w:val="ListParagraph"/>
        <w:numPr>
          <w:ilvl w:val="2"/>
          <w:numId w:val="8"/>
        </w:numPr>
        <w:spacing w:before="240" w:after="120"/>
        <w:contextualSpacing w:val="0"/>
        <w:rPr>
          <w:rFonts w:asciiTheme="minorHAnsi" w:hAnsiTheme="minorHAnsi" w:cstheme="minorHAnsi"/>
        </w:rPr>
      </w:pPr>
      <w:r w:rsidRPr="00AD1DFD">
        <w:rPr>
          <w:rFonts w:asciiTheme="minorHAnsi" w:hAnsiTheme="minorHAnsi" w:cstheme="minorHAnsi"/>
        </w:rPr>
        <w:t xml:space="preserve">Where the agency head is of the view that </w:t>
      </w:r>
      <w:bookmarkStart w:id="0" w:name="_GoBack"/>
      <w:bookmarkEnd w:id="0"/>
      <w:r w:rsidRPr="00AD1DFD">
        <w:rPr>
          <w:rFonts w:asciiTheme="minorHAnsi" w:hAnsiTheme="minorHAnsi" w:cstheme="minorHAnsi"/>
        </w:rPr>
        <w:t xml:space="preserve">a remuneration package in excess of the notional amount may be required prior to </w:t>
      </w:r>
      <w:r w:rsidR="00062A83" w:rsidRPr="00AD1DFD">
        <w:rPr>
          <w:rFonts w:asciiTheme="minorHAnsi" w:hAnsiTheme="minorHAnsi" w:cstheme="minorHAnsi"/>
        </w:rPr>
        <w:t xml:space="preserve">an individual being offered the role or prior to the </w:t>
      </w:r>
      <w:r w:rsidR="00EF6191" w:rsidRPr="00AD1DFD">
        <w:rPr>
          <w:rFonts w:asciiTheme="minorHAnsi" w:hAnsiTheme="minorHAnsi" w:cstheme="minorHAnsi"/>
        </w:rPr>
        <w:t>advertisement of the role</w:t>
      </w:r>
      <w:r w:rsidR="0071764B" w:rsidRPr="00AD1DFD">
        <w:rPr>
          <w:rFonts w:asciiTheme="minorHAnsi" w:hAnsiTheme="minorHAnsi" w:cstheme="minorHAnsi"/>
        </w:rPr>
        <w:t>. The agency head</w:t>
      </w:r>
      <w:r w:rsidRPr="00AD1DFD">
        <w:rPr>
          <w:rFonts w:asciiTheme="minorHAnsi" w:hAnsiTheme="minorHAnsi" w:cstheme="minorHAnsi"/>
        </w:rPr>
        <w:t xml:space="preserve"> may seek the</w:t>
      </w:r>
      <w:r w:rsidR="005C578E" w:rsidRPr="00AD1DFD">
        <w:rPr>
          <w:rFonts w:asciiTheme="minorHAnsi" w:hAnsiTheme="minorHAnsi" w:cstheme="minorHAnsi"/>
        </w:rPr>
        <w:t xml:space="preserve"> Commissioner’s</w:t>
      </w:r>
      <w:r w:rsidRPr="00AD1DFD">
        <w:rPr>
          <w:rFonts w:asciiTheme="minorHAnsi" w:hAnsiTheme="minorHAnsi" w:cstheme="minorHAnsi"/>
        </w:rPr>
        <w:t xml:space="preserve"> in-principle agreement </w:t>
      </w:r>
      <w:r w:rsidR="00F55B0E" w:rsidRPr="00AD1DFD">
        <w:rPr>
          <w:rFonts w:asciiTheme="minorHAnsi" w:hAnsiTheme="minorHAnsi" w:cstheme="minorHAnsi"/>
        </w:rPr>
        <w:t>to a specific remuneration amount, or to a remuneration range with</w:t>
      </w:r>
      <w:r w:rsidR="002317E9" w:rsidRPr="00AD1DFD">
        <w:rPr>
          <w:rFonts w:asciiTheme="minorHAnsi" w:hAnsiTheme="minorHAnsi" w:cstheme="minorHAnsi"/>
        </w:rPr>
        <w:t>in</w:t>
      </w:r>
      <w:r w:rsidR="00F55B0E" w:rsidRPr="00AD1DFD">
        <w:rPr>
          <w:rFonts w:asciiTheme="minorHAnsi" w:hAnsiTheme="minorHAnsi" w:cstheme="minorHAnsi"/>
        </w:rPr>
        <w:t xml:space="preserve"> which the agency head may negotiate</w:t>
      </w:r>
      <w:r w:rsidRPr="00AD1DFD">
        <w:rPr>
          <w:rFonts w:asciiTheme="minorHAnsi" w:hAnsiTheme="minorHAnsi" w:cstheme="minorHAnsi"/>
        </w:rPr>
        <w:t>.</w:t>
      </w:r>
    </w:p>
    <w:p w:rsidR="00051F67" w:rsidRPr="00AD1DFD" w:rsidRDefault="00051F67" w:rsidP="0071764B">
      <w:pPr>
        <w:pStyle w:val="ListParagraph"/>
        <w:numPr>
          <w:ilvl w:val="2"/>
          <w:numId w:val="8"/>
        </w:numPr>
        <w:spacing w:before="240" w:after="120"/>
        <w:contextualSpacing w:val="0"/>
        <w:rPr>
          <w:rFonts w:asciiTheme="minorHAnsi" w:hAnsiTheme="minorHAnsi" w:cstheme="minorHAnsi"/>
        </w:rPr>
      </w:pPr>
      <w:r w:rsidRPr="00AD1DFD">
        <w:rPr>
          <w:rFonts w:asciiTheme="minorHAnsi" w:hAnsiTheme="minorHAnsi" w:cstheme="minorHAnsi"/>
        </w:rPr>
        <w:t xml:space="preserve">For any other situation where remuneration above the notional amount is being considered, e.g. for staff movements </w:t>
      </w:r>
      <w:r w:rsidR="0071764B" w:rsidRPr="00AD1DFD">
        <w:rPr>
          <w:rFonts w:asciiTheme="minorHAnsi" w:hAnsiTheme="minorHAnsi" w:cstheme="minorHAnsi"/>
        </w:rPr>
        <w:t>outside a competitive selection process.</w:t>
      </w:r>
    </w:p>
    <w:p w:rsidR="00051F67" w:rsidRPr="00AD1DFD" w:rsidRDefault="00051F67" w:rsidP="005E78C2">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 xml:space="preserve">The Commissioner will </w:t>
      </w:r>
      <w:r w:rsidR="00743773" w:rsidRPr="00AD1DFD">
        <w:rPr>
          <w:rFonts w:asciiTheme="minorHAnsi" w:hAnsiTheme="minorHAnsi" w:cstheme="minorHAnsi"/>
        </w:rPr>
        <w:t xml:space="preserve">endeavour to </w:t>
      </w:r>
      <w:r w:rsidRPr="00AD1DFD">
        <w:rPr>
          <w:rFonts w:asciiTheme="minorHAnsi" w:hAnsiTheme="minorHAnsi" w:cstheme="minorHAnsi"/>
        </w:rPr>
        <w:t>respond to remuneration proposals within five working days of receipt.</w:t>
      </w:r>
    </w:p>
    <w:p w:rsidR="00051F67" w:rsidRPr="00AD1DFD" w:rsidRDefault="00051F67" w:rsidP="009257A5">
      <w:pPr>
        <w:pStyle w:val="Heading2"/>
      </w:pPr>
      <w:r w:rsidRPr="00AD1DFD">
        <w:t xml:space="preserve">Completing the </w:t>
      </w:r>
      <w:r w:rsidR="00EF6191" w:rsidRPr="00AD1DFD">
        <w:t>APS Executive Remuneration proposal f</w:t>
      </w:r>
      <w:r w:rsidRPr="00AD1DFD">
        <w:t>orm</w:t>
      </w:r>
    </w:p>
    <w:p w:rsidR="00633D8D" w:rsidRPr="00AD1DFD" w:rsidRDefault="00051F67" w:rsidP="005E78C2">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 xml:space="preserve">In relation to performance pay, other bonus payments and the employer superannuation contribution, the maximum potential payment is </w:t>
      </w:r>
      <w:r w:rsidR="0099197B" w:rsidRPr="00AD1DFD">
        <w:rPr>
          <w:rFonts w:asciiTheme="minorHAnsi" w:hAnsiTheme="minorHAnsi" w:cstheme="minorHAnsi"/>
        </w:rPr>
        <w:t xml:space="preserve">to be </w:t>
      </w:r>
      <w:r w:rsidR="0071764B" w:rsidRPr="00AD1DFD">
        <w:rPr>
          <w:rFonts w:asciiTheme="minorHAnsi" w:hAnsiTheme="minorHAnsi" w:cstheme="minorHAnsi"/>
        </w:rPr>
        <w:t>included in the proposal form.</w:t>
      </w:r>
    </w:p>
    <w:p w:rsidR="00051F67" w:rsidRPr="00AD1DFD" w:rsidRDefault="00051F67" w:rsidP="005E78C2">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In addition to all remuneration items</w:t>
      </w:r>
      <w:r w:rsidR="0071764B" w:rsidRPr="00AD1DFD">
        <w:rPr>
          <w:rFonts w:asciiTheme="minorHAnsi" w:hAnsiTheme="minorHAnsi" w:cstheme="minorHAnsi"/>
        </w:rPr>
        <w:t xml:space="preserve"> noted above</w:t>
      </w:r>
      <w:r w:rsidRPr="00AD1DFD">
        <w:rPr>
          <w:rFonts w:asciiTheme="minorHAnsi" w:hAnsiTheme="minorHAnsi" w:cstheme="minorHAnsi"/>
        </w:rPr>
        <w:t xml:space="preserve">, details </w:t>
      </w:r>
      <w:r w:rsidR="00A16379" w:rsidRPr="00AD1DFD">
        <w:rPr>
          <w:rFonts w:asciiTheme="minorHAnsi" w:hAnsiTheme="minorHAnsi" w:cstheme="minorHAnsi"/>
        </w:rPr>
        <w:t xml:space="preserve">should be provided </w:t>
      </w:r>
      <w:r w:rsidRPr="00AD1DFD">
        <w:rPr>
          <w:rFonts w:asciiTheme="minorHAnsi" w:hAnsiTheme="minorHAnsi" w:cstheme="minorHAnsi"/>
        </w:rPr>
        <w:t>of any proposed benefits</w:t>
      </w:r>
      <w:r w:rsidR="005F4C24" w:rsidRPr="00AD1DFD">
        <w:rPr>
          <w:rFonts w:asciiTheme="minorHAnsi" w:hAnsiTheme="minorHAnsi" w:cstheme="minorHAnsi"/>
        </w:rPr>
        <w:t xml:space="preserve"> or one-off payments</w:t>
      </w:r>
      <w:r w:rsidRPr="00AD1DFD">
        <w:rPr>
          <w:rFonts w:asciiTheme="minorHAnsi" w:hAnsiTheme="minorHAnsi" w:cstheme="minorHAnsi"/>
        </w:rPr>
        <w:t xml:space="preserve"> that are not included within the Total Remuneration definition, such as accommodation, living allowances and study expenses.</w:t>
      </w:r>
      <w:r w:rsidR="0067589F" w:rsidRPr="00AD1DFD">
        <w:rPr>
          <w:rFonts w:asciiTheme="minorHAnsi" w:hAnsiTheme="minorHAnsi" w:cstheme="minorHAnsi"/>
        </w:rPr>
        <w:t xml:space="preserve"> </w:t>
      </w:r>
      <w:r w:rsidRPr="00AD1DFD">
        <w:rPr>
          <w:rFonts w:asciiTheme="minorHAnsi" w:hAnsiTheme="minorHAnsi" w:cstheme="minorHAnsi"/>
        </w:rPr>
        <w:t xml:space="preserve"> If these benefits are pre-determined payments, specify the purpose, value and expected timing of payments.</w:t>
      </w:r>
      <w:r w:rsidR="006D506F" w:rsidRPr="00AD1DFD">
        <w:rPr>
          <w:rFonts w:asciiTheme="minorHAnsi" w:hAnsiTheme="minorHAnsi" w:cstheme="minorHAnsi"/>
        </w:rPr>
        <w:t xml:space="preserve"> </w:t>
      </w:r>
      <w:r w:rsidRPr="00AD1DFD">
        <w:rPr>
          <w:rFonts w:asciiTheme="minorHAnsi" w:hAnsiTheme="minorHAnsi" w:cstheme="minorHAnsi"/>
        </w:rPr>
        <w:t xml:space="preserve"> In all other cases, specify the purpose and estimated annual value of each be</w:t>
      </w:r>
      <w:r w:rsidR="00174742" w:rsidRPr="00AD1DFD">
        <w:rPr>
          <w:rFonts w:asciiTheme="minorHAnsi" w:hAnsiTheme="minorHAnsi" w:cstheme="minorHAnsi"/>
        </w:rPr>
        <w:t>nefit.</w:t>
      </w:r>
    </w:p>
    <w:p w:rsidR="00051F67" w:rsidRPr="00AD1DFD" w:rsidRDefault="00237A7D" w:rsidP="005E78C2">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P</w:t>
      </w:r>
      <w:r w:rsidR="008367F6" w:rsidRPr="00AD1DFD">
        <w:rPr>
          <w:rFonts w:asciiTheme="minorHAnsi" w:hAnsiTheme="minorHAnsi" w:cstheme="minorHAnsi"/>
        </w:rPr>
        <w:t xml:space="preserve">roposals need to be supported by </w:t>
      </w:r>
      <w:r w:rsidR="00CC7DE3" w:rsidRPr="00AD1DFD">
        <w:rPr>
          <w:rFonts w:asciiTheme="minorHAnsi" w:hAnsiTheme="minorHAnsi" w:cstheme="minorHAnsi"/>
        </w:rPr>
        <w:t>appropriate</w:t>
      </w:r>
      <w:r w:rsidR="008367F6" w:rsidRPr="00AD1DFD">
        <w:rPr>
          <w:rFonts w:asciiTheme="minorHAnsi" w:hAnsiTheme="minorHAnsi" w:cstheme="minorHAnsi"/>
        </w:rPr>
        <w:t xml:space="preserve"> justification, based on job weight </w:t>
      </w:r>
      <w:r w:rsidR="007B056D" w:rsidRPr="00AD1DFD">
        <w:rPr>
          <w:rFonts w:asciiTheme="minorHAnsi" w:hAnsiTheme="minorHAnsi" w:cstheme="minorHAnsi"/>
        </w:rPr>
        <w:t>and/</w:t>
      </w:r>
      <w:r w:rsidR="008367F6" w:rsidRPr="00AD1DFD">
        <w:rPr>
          <w:rFonts w:asciiTheme="minorHAnsi" w:hAnsiTheme="minorHAnsi" w:cstheme="minorHAnsi"/>
        </w:rPr>
        <w:t xml:space="preserve">or market factors.  </w:t>
      </w:r>
      <w:r w:rsidR="00A16379" w:rsidRPr="00AD1DFD">
        <w:rPr>
          <w:rFonts w:asciiTheme="minorHAnsi" w:hAnsiTheme="minorHAnsi" w:cstheme="minorHAnsi"/>
        </w:rPr>
        <w:t>S</w:t>
      </w:r>
      <w:r w:rsidR="008367F6" w:rsidRPr="00AD1DFD">
        <w:rPr>
          <w:rFonts w:asciiTheme="minorHAnsi" w:hAnsiTheme="minorHAnsi" w:cstheme="minorHAnsi"/>
        </w:rPr>
        <w:t xml:space="preserve">upporting </w:t>
      </w:r>
      <w:r w:rsidR="00051F67" w:rsidRPr="00AD1DFD">
        <w:rPr>
          <w:rFonts w:asciiTheme="minorHAnsi" w:hAnsiTheme="minorHAnsi" w:cstheme="minorHAnsi"/>
        </w:rPr>
        <w:t xml:space="preserve">documentation, </w:t>
      </w:r>
      <w:r w:rsidR="0099197B" w:rsidRPr="00AD1DFD">
        <w:rPr>
          <w:rFonts w:asciiTheme="minorHAnsi" w:hAnsiTheme="minorHAnsi" w:cstheme="minorHAnsi"/>
        </w:rPr>
        <w:t>such as market data</w:t>
      </w:r>
      <w:r w:rsidR="00051F67" w:rsidRPr="00AD1DFD">
        <w:rPr>
          <w:rFonts w:asciiTheme="minorHAnsi" w:hAnsiTheme="minorHAnsi" w:cstheme="minorHAnsi"/>
        </w:rPr>
        <w:t xml:space="preserve">, </w:t>
      </w:r>
      <w:r w:rsidR="00A16379" w:rsidRPr="00AD1DFD">
        <w:rPr>
          <w:rFonts w:asciiTheme="minorHAnsi" w:hAnsiTheme="minorHAnsi" w:cstheme="minorHAnsi"/>
        </w:rPr>
        <w:t xml:space="preserve">should be provided </w:t>
      </w:r>
      <w:r w:rsidR="00051F67" w:rsidRPr="00AD1DFD">
        <w:rPr>
          <w:rFonts w:asciiTheme="minorHAnsi" w:hAnsiTheme="minorHAnsi" w:cstheme="minorHAnsi"/>
        </w:rPr>
        <w:t xml:space="preserve">to support </w:t>
      </w:r>
      <w:r w:rsidRPr="00AD1DFD">
        <w:rPr>
          <w:rFonts w:asciiTheme="minorHAnsi" w:hAnsiTheme="minorHAnsi" w:cstheme="minorHAnsi"/>
        </w:rPr>
        <w:t xml:space="preserve">the </w:t>
      </w:r>
      <w:r w:rsidR="00051F67" w:rsidRPr="00AD1DFD">
        <w:rPr>
          <w:rFonts w:asciiTheme="minorHAnsi" w:hAnsiTheme="minorHAnsi" w:cstheme="minorHAnsi"/>
        </w:rPr>
        <w:t>proposal.</w:t>
      </w:r>
      <w:r w:rsidR="0051373B" w:rsidRPr="00AD1DFD">
        <w:rPr>
          <w:rFonts w:asciiTheme="minorHAnsi" w:hAnsiTheme="minorHAnsi" w:cstheme="minorHAnsi"/>
        </w:rPr>
        <w:t xml:space="preserve"> </w:t>
      </w:r>
    </w:p>
    <w:p w:rsidR="0089464A" w:rsidRPr="00AD1DFD" w:rsidRDefault="0089464A" w:rsidP="009257A5">
      <w:pPr>
        <w:pStyle w:val="Heading2"/>
      </w:pPr>
      <w:r w:rsidRPr="00AD1DFD">
        <w:t>Definitions</w:t>
      </w:r>
    </w:p>
    <w:p w:rsidR="0089464A" w:rsidRPr="00AD1DFD" w:rsidRDefault="0089464A" w:rsidP="00E46CD8">
      <w:pPr>
        <w:pStyle w:val="ListParagraph"/>
        <w:keepNext/>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w:t>
      </w:r>
      <w:r w:rsidRPr="00AD1DFD">
        <w:rPr>
          <w:rFonts w:asciiTheme="minorHAnsi" w:hAnsiTheme="minorHAnsi" w:cstheme="minorHAnsi"/>
          <w:b/>
        </w:rPr>
        <w:t>Benefits’</w:t>
      </w:r>
      <w:r w:rsidRPr="00AD1DFD">
        <w:rPr>
          <w:rFonts w:asciiTheme="minorHAnsi" w:hAnsiTheme="minorHAnsi" w:cstheme="minorHAnsi"/>
        </w:rPr>
        <w:t xml:space="preserve"> means benefits, other than cash and the employer's superannuation contribution, provided to an employee at the Commonwealth’s expense, and includes any Commonwealth provided vehicle that the employee elects to receive and the value of parking.</w:t>
      </w:r>
    </w:p>
    <w:p w:rsidR="0089464A" w:rsidRPr="00AD1DFD" w:rsidRDefault="0089464A" w:rsidP="0089464A">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w:t>
      </w:r>
      <w:r w:rsidRPr="00AD1DFD">
        <w:rPr>
          <w:rFonts w:asciiTheme="minorHAnsi" w:hAnsiTheme="minorHAnsi" w:cstheme="minorHAnsi"/>
          <w:b/>
        </w:rPr>
        <w:t>Bonuses’</w:t>
      </w:r>
      <w:r w:rsidRPr="00AD1DFD">
        <w:rPr>
          <w:rFonts w:asciiTheme="minorHAnsi" w:hAnsiTheme="minorHAnsi" w:cstheme="minorHAnsi"/>
        </w:rPr>
        <w:t xml:space="preserve"> include performance pay and any bonuses.  The value to be declared is the maximum amount that may be paid.</w:t>
      </w:r>
    </w:p>
    <w:p w:rsidR="0089464A" w:rsidRPr="00AD1DFD" w:rsidRDefault="0089464A" w:rsidP="00E46CD8">
      <w:pPr>
        <w:pStyle w:val="ListParagraph"/>
        <w:numPr>
          <w:ilvl w:val="1"/>
          <w:numId w:val="8"/>
        </w:numPr>
        <w:spacing w:before="240"/>
        <w:ind w:left="788" w:hanging="431"/>
        <w:contextualSpacing w:val="0"/>
        <w:rPr>
          <w:rFonts w:asciiTheme="minorHAnsi" w:hAnsiTheme="minorHAnsi" w:cstheme="minorHAnsi"/>
        </w:rPr>
      </w:pPr>
      <w:r w:rsidRPr="00AD1DFD">
        <w:rPr>
          <w:rFonts w:asciiTheme="minorHAnsi" w:hAnsiTheme="minorHAnsi" w:cstheme="minorHAnsi"/>
        </w:rPr>
        <w:lastRenderedPageBreak/>
        <w:t>‘</w:t>
      </w:r>
      <w:r w:rsidRPr="00AD1DFD">
        <w:rPr>
          <w:rFonts w:asciiTheme="minorHAnsi" w:hAnsiTheme="minorHAnsi" w:cstheme="minorHAnsi"/>
          <w:b/>
        </w:rPr>
        <w:t>Employer's superannuation contribution’</w:t>
      </w:r>
      <w:r w:rsidRPr="00AD1DFD">
        <w:rPr>
          <w:rFonts w:asciiTheme="minorHAnsi" w:hAnsiTheme="minorHAnsi" w:cstheme="minorHAnsi"/>
        </w:rPr>
        <w:t xml:space="preserve"> means payments made by the Commonwealth in respect of the employee to:</w:t>
      </w:r>
    </w:p>
    <w:p w:rsidR="0089464A" w:rsidRPr="00AD1DFD" w:rsidRDefault="0089464A" w:rsidP="0089464A">
      <w:pPr>
        <w:pStyle w:val="ListParagraph"/>
        <w:numPr>
          <w:ilvl w:val="0"/>
          <w:numId w:val="15"/>
        </w:numPr>
        <w:spacing w:before="240" w:after="120"/>
        <w:ind w:left="1276" w:hanging="425"/>
        <w:rPr>
          <w:rFonts w:asciiTheme="minorHAnsi" w:hAnsiTheme="minorHAnsi" w:cstheme="minorHAnsi"/>
        </w:rPr>
      </w:pPr>
      <w:r w:rsidRPr="00AD1DFD">
        <w:rPr>
          <w:rFonts w:asciiTheme="minorHAnsi" w:hAnsiTheme="minorHAnsi" w:cstheme="minorHAnsi"/>
        </w:rPr>
        <w:t>a Commonwealth defined benefit scheme (including the Commonwealth Superannuation Scheme or the Public Sector Superannuation Scheme); or</w:t>
      </w:r>
    </w:p>
    <w:p w:rsidR="0089464A" w:rsidRPr="00AD1DFD" w:rsidRDefault="0089464A" w:rsidP="00E46CD8">
      <w:pPr>
        <w:pStyle w:val="ListParagraph"/>
        <w:numPr>
          <w:ilvl w:val="0"/>
          <w:numId w:val="15"/>
        </w:numPr>
        <w:spacing w:before="240" w:after="60"/>
        <w:ind w:left="1276" w:hanging="425"/>
        <w:rPr>
          <w:rFonts w:asciiTheme="minorHAnsi" w:hAnsiTheme="minorHAnsi" w:cstheme="minorHAnsi"/>
        </w:rPr>
      </w:pPr>
      <w:proofErr w:type="gramStart"/>
      <w:r w:rsidRPr="00AD1DFD">
        <w:rPr>
          <w:rFonts w:asciiTheme="minorHAnsi" w:hAnsiTheme="minorHAnsi" w:cstheme="minorHAnsi"/>
        </w:rPr>
        <w:t>another</w:t>
      </w:r>
      <w:proofErr w:type="gramEnd"/>
      <w:r w:rsidRPr="00AD1DFD">
        <w:rPr>
          <w:rFonts w:asciiTheme="minorHAnsi" w:hAnsiTheme="minorHAnsi" w:cstheme="minorHAnsi"/>
        </w:rPr>
        <w:t xml:space="preserve"> superannuation fund.</w:t>
      </w:r>
    </w:p>
    <w:p w:rsidR="00CF5F78" w:rsidRPr="00AD1DFD" w:rsidRDefault="0089464A" w:rsidP="00CF5F78">
      <w:pPr>
        <w:spacing w:before="120" w:after="120"/>
        <w:ind w:left="851"/>
        <w:rPr>
          <w:rFonts w:asciiTheme="minorHAnsi" w:hAnsiTheme="minorHAnsi" w:cstheme="minorHAnsi"/>
        </w:rPr>
      </w:pPr>
      <w:r w:rsidRPr="00AD1DFD">
        <w:rPr>
          <w:rFonts w:asciiTheme="minorHAnsi" w:hAnsiTheme="minorHAnsi" w:cstheme="minorHAnsi"/>
        </w:rPr>
        <w:t>For the purposes of the defined benefit schemes, a notional value calculated as 15.4% of superannuation salary is to be used as the value of the employer’s superannuation contribution.</w:t>
      </w:r>
      <w:r w:rsidR="007B7AC5" w:rsidRPr="00AD1DFD">
        <w:rPr>
          <w:rFonts w:asciiTheme="minorHAnsi" w:hAnsiTheme="minorHAnsi" w:cstheme="minorHAnsi"/>
        </w:rPr>
        <w:t xml:space="preserve">  </w:t>
      </w:r>
      <w:r w:rsidR="00CF5F78" w:rsidRPr="00AD1DFD">
        <w:rPr>
          <w:rFonts w:asciiTheme="minorHAnsi" w:hAnsiTheme="minorHAnsi" w:cstheme="minorHAnsi"/>
        </w:rPr>
        <w:t>For accumulation plan schemes, a notional value calculated as 15.4% of salary is to be used as the value of the employer’s superannuation contribution.</w:t>
      </w:r>
    </w:p>
    <w:p w:rsidR="0089464A" w:rsidRPr="00AD1DFD" w:rsidRDefault="0089464A" w:rsidP="0089464A">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rPr>
        <w:t>‘</w:t>
      </w:r>
      <w:r w:rsidRPr="00AD1DFD">
        <w:rPr>
          <w:rFonts w:asciiTheme="minorHAnsi" w:hAnsiTheme="minorHAnsi" w:cstheme="minorHAnsi"/>
          <w:b/>
        </w:rPr>
        <w:t>Facilities provided as business support’</w:t>
      </w:r>
      <w:r w:rsidRPr="00AD1DFD">
        <w:rPr>
          <w:rFonts w:asciiTheme="minorHAnsi" w:hAnsiTheme="minorHAnsi" w:cstheme="minorHAnsi"/>
        </w:rPr>
        <w:t xml:space="preserve"> are those communications, information technology and other office facilities provided to the employee that are necessary for the efficient conduct of the Commonwealth’s business. Incidental private use may be included. The facilities also include airline lounge memberships.</w:t>
      </w:r>
    </w:p>
    <w:p w:rsidR="0089464A" w:rsidRPr="00AD1DFD" w:rsidRDefault="00E4580B" w:rsidP="0089464A">
      <w:pPr>
        <w:pStyle w:val="ListParagraph"/>
        <w:numPr>
          <w:ilvl w:val="1"/>
          <w:numId w:val="8"/>
        </w:numPr>
        <w:spacing w:before="240" w:after="120"/>
        <w:contextualSpacing w:val="0"/>
        <w:rPr>
          <w:rFonts w:asciiTheme="minorHAnsi" w:hAnsiTheme="minorHAnsi" w:cstheme="minorHAnsi"/>
        </w:rPr>
      </w:pPr>
      <w:r w:rsidRPr="00AD1DFD">
        <w:rPr>
          <w:rFonts w:asciiTheme="minorHAnsi" w:hAnsiTheme="minorHAnsi" w:cstheme="minorHAnsi"/>
          <w:b/>
        </w:rPr>
        <w:t>‘</w:t>
      </w:r>
      <w:r w:rsidR="0089464A" w:rsidRPr="00AD1DFD">
        <w:rPr>
          <w:rFonts w:asciiTheme="minorHAnsi" w:hAnsiTheme="minorHAnsi" w:cstheme="minorHAnsi"/>
          <w:b/>
        </w:rPr>
        <w:t>Grandfathered arrangements</w:t>
      </w:r>
      <w:r w:rsidRPr="00AD1DFD">
        <w:rPr>
          <w:rFonts w:asciiTheme="minorHAnsi" w:hAnsiTheme="minorHAnsi" w:cstheme="minorHAnsi"/>
          <w:b/>
        </w:rPr>
        <w:t>’</w:t>
      </w:r>
      <w:r w:rsidR="0089464A" w:rsidRPr="00AD1DFD">
        <w:rPr>
          <w:rFonts w:asciiTheme="minorHAnsi" w:hAnsiTheme="minorHAnsi" w:cstheme="minorHAnsi"/>
        </w:rPr>
        <w:t xml:space="preserve"> are those remuneration arrangements that were already in place that are above the notional amount at the commencement of the interim policy on 14 May 2012, and have been approved by the Commissioner.</w:t>
      </w:r>
    </w:p>
    <w:p w:rsidR="0089464A" w:rsidRPr="00AD1DFD" w:rsidRDefault="00E4580B" w:rsidP="0089464A">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b/>
        </w:rPr>
        <w:t>‘</w:t>
      </w:r>
      <w:r w:rsidR="0089464A" w:rsidRPr="00AD1DFD">
        <w:rPr>
          <w:rFonts w:asciiTheme="minorHAnsi" w:hAnsiTheme="minorHAnsi" w:cstheme="minorHAnsi"/>
          <w:b/>
        </w:rPr>
        <w:t>Notional Amount</w:t>
      </w:r>
      <w:r w:rsidRPr="00AD1DFD">
        <w:rPr>
          <w:rFonts w:asciiTheme="minorHAnsi" w:hAnsiTheme="minorHAnsi" w:cstheme="minorHAnsi"/>
          <w:b/>
        </w:rPr>
        <w:t>’</w:t>
      </w:r>
      <w:r w:rsidR="0089464A" w:rsidRPr="00AD1DFD">
        <w:rPr>
          <w:rFonts w:asciiTheme="minorHAnsi" w:hAnsiTheme="minorHAnsi" w:cstheme="minorHAnsi"/>
        </w:rPr>
        <w:t xml:space="preserve"> is the maximum remuneration (Total Remuneration – see below) that agency heads may approve for their SES and non-SES roles and is a percentage of the base remuneration of the Secretaries’ classification structure</w:t>
      </w:r>
      <w:r w:rsidR="008627C4" w:rsidRPr="00AD1DFD">
        <w:rPr>
          <w:rFonts w:asciiTheme="minorHAnsi" w:hAnsiTheme="minorHAnsi" w:cstheme="minorHAnsi"/>
        </w:rPr>
        <w:t xml:space="preserve"> (refer to the Remuneration Tribunal’s Determination at </w:t>
      </w:r>
      <w:hyperlink r:id="rId11" w:history="1">
        <w:r w:rsidR="008C5DE1" w:rsidRPr="00AD1DFD">
          <w:rPr>
            <w:rStyle w:val="Hyperlink"/>
            <w:rFonts w:asciiTheme="minorHAnsi" w:hAnsiTheme="minorHAnsi" w:cstheme="minorHAnsi"/>
          </w:rPr>
          <w:t>www.remtribunal.gov.au</w:t>
        </w:r>
      </w:hyperlink>
      <w:r w:rsidR="008627C4" w:rsidRPr="00AD1DFD">
        <w:rPr>
          <w:rFonts w:asciiTheme="minorHAnsi" w:hAnsiTheme="minorHAnsi" w:cstheme="minorHAnsi"/>
        </w:rPr>
        <w:t>)</w:t>
      </w:r>
      <w:r w:rsidR="0089464A" w:rsidRPr="00AD1DFD">
        <w:rPr>
          <w:rFonts w:asciiTheme="minorHAnsi" w:hAnsiTheme="minorHAnsi" w:cstheme="minorHAnsi"/>
        </w:rPr>
        <w:t xml:space="preserve">.  </w:t>
      </w:r>
      <w:r w:rsidR="009D5559" w:rsidRPr="00AD1DFD">
        <w:rPr>
          <w:rFonts w:asciiTheme="minorHAnsi" w:hAnsiTheme="minorHAnsi" w:cstheme="minorHAnsi"/>
        </w:rPr>
        <w:t>T</w:t>
      </w:r>
      <w:r w:rsidR="0089464A" w:rsidRPr="00AD1DFD">
        <w:rPr>
          <w:rFonts w:asciiTheme="minorHAnsi" w:hAnsiTheme="minorHAnsi" w:cstheme="minorHAnsi"/>
        </w:rPr>
        <w:t xml:space="preserve">he notional amount is equivalent to 65% of the lowest </w:t>
      </w:r>
      <w:r w:rsidR="009020B2" w:rsidRPr="00AD1DFD">
        <w:rPr>
          <w:rFonts w:asciiTheme="minorHAnsi" w:hAnsiTheme="minorHAnsi" w:cstheme="minorHAnsi"/>
        </w:rPr>
        <w:t>pay point</w:t>
      </w:r>
      <w:r w:rsidR="0089464A" w:rsidRPr="00AD1DFD">
        <w:rPr>
          <w:rFonts w:asciiTheme="minorHAnsi" w:hAnsiTheme="minorHAnsi" w:cstheme="minorHAnsi"/>
        </w:rPr>
        <w:t xml:space="preserve"> of the Secretaries’ classification structure for all employees (SES and non-SES).</w:t>
      </w:r>
    </w:p>
    <w:p w:rsidR="00D01A3E" w:rsidRPr="00AD1DFD" w:rsidRDefault="0024230A" w:rsidP="00D01A3E">
      <w:pPr>
        <w:pStyle w:val="ListParagraph"/>
        <w:numPr>
          <w:ilvl w:val="1"/>
          <w:numId w:val="8"/>
        </w:numPr>
        <w:spacing w:before="240" w:after="120"/>
        <w:ind w:left="788" w:hanging="431"/>
        <w:contextualSpacing w:val="0"/>
        <w:rPr>
          <w:rFonts w:asciiTheme="minorHAnsi" w:hAnsiTheme="minorHAnsi" w:cstheme="minorHAnsi"/>
        </w:rPr>
      </w:pPr>
      <w:r w:rsidRPr="00AD1DFD">
        <w:rPr>
          <w:rFonts w:asciiTheme="minorHAnsi" w:hAnsiTheme="minorHAnsi" w:cstheme="minorHAnsi"/>
          <w:b/>
        </w:rPr>
        <w:t>‘</w:t>
      </w:r>
      <w:r w:rsidR="00D01A3E" w:rsidRPr="00AD1DFD">
        <w:rPr>
          <w:rFonts w:asciiTheme="minorHAnsi" w:hAnsiTheme="minorHAnsi" w:cstheme="minorHAnsi"/>
          <w:b/>
        </w:rPr>
        <w:t>Total Remuneration</w:t>
      </w:r>
      <w:r w:rsidR="00E4580B" w:rsidRPr="00AD1DFD">
        <w:rPr>
          <w:rFonts w:asciiTheme="minorHAnsi" w:hAnsiTheme="minorHAnsi" w:cstheme="minorHAnsi"/>
          <w:b/>
        </w:rPr>
        <w:t>’</w:t>
      </w:r>
      <w:r w:rsidR="00D01A3E" w:rsidRPr="00AD1DFD">
        <w:rPr>
          <w:rFonts w:asciiTheme="minorHAnsi" w:hAnsiTheme="minorHAnsi" w:cstheme="minorHAnsi"/>
          <w:b/>
        </w:rPr>
        <w:t xml:space="preserve"> (or</w:t>
      </w:r>
      <w:r w:rsidR="00D01A3E" w:rsidRPr="00AD1DFD">
        <w:rPr>
          <w:rFonts w:asciiTheme="minorHAnsi" w:hAnsiTheme="minorHAnsi" w:cstheme="minorHAnsi"/>
        </w:rPr>
        <w:t xml:space="preserve"> </w:t>
      </w:r>
      <w:r w:rsidR="00D01A3E" w:rsidRPr="00AD1DFD">
        <w:rPr>
          <w:rFonts w:asciiTheme="minorHAnsi" w:hAnsiTheme="minorHAnsi" w:cstheme="minorHAnsi"/>
          <w:b/>
        </w:rPr>
        <w:t xml:space="preserve">remuneration, or remuneration package) - </w:t>
      </w:r>
      <w:r w:rsidR="00D01A3E" w:rsidRPr="00AD1DFD">
        <w:rPr>
          <w:rFonts w:asciiTheme="minorHAnsi" w:hAnsiTheme="minorHAnsi" w:cstheme="minorHAnsi"/>
        </w:rPr>
        <w:t>the description of Total Remuneration is aligned to that used by the Remuneration Tribunal for Secretaries, with the addition of performance pay/bonuses.</w:t>
      </w:r>
    </w:p>
    <w:p w:rsidR="00D01A3E" w:rsidRPr="00AD1DFD" w:rsidRDefault="00D01A3E" w:rsidP="00E46CD8">
      <w:pPr>
        <w:spacing w:before="240"/>
        <w:ind w:left="788"/>
        <w:rPr>
          <w:rFonts w:asciiTheme="minorHAnsi" w:hAnsiTheme="minorHAnsi" w:cstheme="minorHAnsi"/>
        </w:rPr>
      </w:pPr>
      <w:r w:rsidRPr="00AD1DFD">
        <w:rPr>
          <w:rFonts w:asciiTheme="minorHAnsi" w:hAnsiTheme="minorHAnsi" w:cstheme="minorHAnsi"/>
        </w:rPr>
        <w:t>For the purposes of valuing remuneration packages under this policy, Total Remuneration represents the aggregate value, calculated as the total cost to the employer (including FBT) and expressed as an annual amount, of:</w:t>
      </w:r>
    </w:p>
    <w:p w:rsidR="00D01A3E" w:rsidRPr="00AD1DFD" w:rsidRDefault="00D01A3E" w:rsidP="00043B3E">
      <w:pPr>
        <w:pStyle w:val="ListParagraph"/>
        <w:numPr>
          <w:ilvl w:val="0"/>
          <w:numId w:val="16"/>
        </w:numPr>
        <w:rPr>
          <w:rFonts w:asciiTheme="minorHAnsi" w:hAnsiTheme="minorHAnsi" w:cstheme="minorHAnsi"/>
          <w:szCs w:val="22"/>
        </w:rPr>
      </w:pPr>
      <w:r w:rsidRPr="00AD1DFD">
        <w:rPr>
          <w:rFonts w:asciiTheme="minorHAnsi" w:hAnsiTheme="minorHAnsi" w:cstheme="minorHAnsi"/>
          <w:szCs w:val="22"/>
        </w:rPr>
        <w:t xml:space="preserve">salary, allowances or lump sum payments </w:t>
      </w:r>
      <w:r w:rsidRPr="00AD1DFD">
        <w:rPr>
          <w:rFonts w:asciiTheme="minorHAnsi" w:hAnsiTheme="minorHAnsi" w:cstheme="minorHAnsi"/>
          <w:sz w:val="16"/>
          <w:szCs w:val="16"/>
        </w:rPr>
        <w:t>(</w:t>
      </w:r>
      <w:r w:rsidRPr="00AD1DFD">
        <w:rPr>
          <w:rFonts w:asciiTheme="minorHAnsi" w:hAnsiTheme="minorHAnsi" w:cstheme="minorHAnsi"/>
          <w:szCs w:val="22"/>
        </w:rPr>
        <w:t>including payments in lieu of motor vehicle benefits, however paid)</w:t>
      </w:r>
    </w:p>
    <w:p w:rsidR="00D01A3E" w:rsidRPr="00AD1DFD" w:rsidRDefault="00D01A3E" w:rsidP="00043B3E">
      <w:pPr>
        <w:pStyle w:val="ListParagraph"/>
        <w:numPr>
          <w:ilvl w:val="0"/>
          <w:numId w:val="16"/>
        </w:numPr>
        <w:rPr>
          <w:rFonts w:asciiTheme="minorHAnsi" w:hAnsiTheme="minorHAnsi" w:cstheme="minorHAnsi"/>
          <w:szCs w:val="22"/>
        </w:rPr>
      </w:pPr>
      <w:r w:rsidRPr="00AD1DFD">
        <w:rPr>
          <w:rFonts w:asciiTheme="minorHAnsi" w:hAnsiTheme="minorHAnsi" w:cstheme="minorHAnsi"/>
          <w:szCs w:val="22"/>
        </w:rPr>
        <w:t>the employer’s superannuation contribution (</w:t>
      </w:r>
      <w:r w:rsidRPr="00AD1DFD">
        <w:rPr>
          <w:rFonts w:asciiTheme="minorHAnsi" w:hAnsiTheme="minorHAnsi" w:cstheme="minorHAnsi"/>
        </w:rPr>
        <w:t>maximum potential payment)</w:t>
      </w:r>
    </w:p>
    <w:p w:rsidR="00D01A3E" w:rsidRPr="00AD1DFD" w:rsidRDefault="00D01A3E" w:rsidP="00043B3E">
      <w:pPr>
        <w:pStyle w:val="ListParagraph"/>
        <w:numPr>
          <w:ilvl w:val="0"/>
          <w:numId w:val="16"/>
        </w:numPr>
        <w:rPr>
          <w:rFonts w:asciiTheme="minorHAnsi" w:hAnsiTheme="minorHAnsi" w:cstheme="minorHAnsi"/>
          <w:szCs w:val="22"/>
        </w:rPr>
      </w:pPr>
      <w:r w:rsidRPr="00AD1DFD">
        <w:rPr>
          <w:rFonts w:asciiTheme="minorHAnsi" w:hAnsiTheme="minorHAnsi" w:cstheme="minorHAnsi"/>
          <w:szCs w:val="22"/>
        </w:rPr>
        <w:t>performance pay and bonuses</w:t>
      </w:r>
      <w:r w:rsidR="00C9621D" w:rsidRPr="00AD1DFD">
        <w:rPr>
          <w:rFonts w:asciiTheme="minorHAnsi" w:hAnsiTheme="minorHAnsi" w:cstheme="minorHAnsi"/>
          <w:szCs w:val="22"/>
        </w:rPr>
        <w:t xml:space="preserve"> </w:t>
      </w:r>
      <w:r w:rsidRPr="00AD1DFD">
        <w:rPr>
          <w:rFonts w:asciiTheme="minorHAnsi" w:hAnsiTheme="minorHAnsi" w:cstheme="minorHAnsi"/>
          <w:szCs w:val="22"/>
        </w:rPr>
        <w:t>(</w:t>
      </w:r>
      <w:r w:rsidRPr="00AD1DFD">
        <w:rPr>
          <w:rFonts w:asciiTheme="minorHAnsi" w:hAnsiTheme="minorHAnsi" w:cstheme="minorHAnsi"/>
        </w:rPr>
        <w:t>maximum potential payment)</w:t>
      </w:r>
      <w:r w:rsidR="00043B3E" w:rsidRPr="00AD1DFD">
        <w:rPr>
          <w:rFonts w:asciiTheme="minorHAnsi" w:hAnsiTheme="minorHAnsi" w:cstheme="minorHAnsi"/>
          <w:szCs w:val="22"/>
        </w:rPr>
        <w:t>,</w:t>
      </w:r>
      <w:r w:rsidRPr="00AD1DFD">
        <w:rPr>
          <w:rFonts w:asciiTheme="minorHAnsi" w:hAnsiTheme="minorHAnsi" w:cstheme="minorHAnsi"/>
          <w:szCs w:val="22"/>
        </w:rPr>
        <w:t xml:space="preserve"> and</w:t>
      </w:r>
    </w:p>
    <w:p w:rsidR="00D01A3E" w:rsidRPr="00AD1DFD" w:rsidRDefault="00043B3E" w:rsidP="00043B3E">
      <w:pPr>
        <w:pStyle w:val="ListParagraph"/>
        <w:numPr>
          <w:ilvl w:val="0"/>
          <w:numId w:val="16"/>
        </w:numPr>
        <w:rPr>
          <w:rFonts w:asciiTheme="minorHAnsi" w:hAnsiTheme="minorHAnsi" w:cstheme="minorHAnsi"/>
          <w:szCs w:val="22"/>
        </w:rPr>
      </w:pPr>
      <w:r w:rsidRPr="00AD1DFD">
        <w:rPr>
          <w:rFonts w:asciiTheme="minorHAnsi" w:hAnsiTheme="minorHAnsi" w:cstheme="minorHAnsi"/>
          <w:szCs w:val="22"/>
        </w:rPr>
        <w:t>benefits</w:t>
      </w:r>
    </w:p>
    <w:p w:rsidR="00D01A3E" w:rsidRPr="00AD1DFD" w:rsidRDefault="00D01A3E" w:rsidP="00E46CD8">
      <w:pPr>
        <w:spacing w:before="40"/>
        <w:ind w:left="788"/>
        <w:rPr>
          <w:rFonts w:asciiTheme="minorHAnsi" w:hAnsiTheme="minorHAnsi" w:cstheme="minorHAnsi"/>
          <w:szCs w:val="22"/>
        </w:rPr>
      </w:pPr>
      <w:proofErr w:type="gramStart"/>
      <w:r w:rsidRPr="00AD1DFD">
        <w:rPr>
          <w:rFonts w:asciiTheme="minorHAnsi" w:hAnsiTheme="minorHAnsi" w:cstheme="minorHAnsi"/>
          <w:szCs w:val="22"/>
        </w:rPr>
        <w:t>but</w:t>
      </w:r>
      <w:proofErr w:type="gramEnd"/>
      <w:r w:rsidRPr="00AD1DFD">
        <w:rPr>
          <w:rFonts w:asciiTheme="minorHAnsi" w:hAnsiTheme="minorHAnsi" w:cstheme="minorHAnsi"/>
          <w:szCs w:val="22"/>
        </w:rPr>
        <w:t xml:space="preserve"> does not include:</w:t>
      </w:r>
    </w:p>
    <w:p w:rsidR="00D01A3E" w:rsidRPr="00AD1DFD" w:rsidRDefault="00D01A3E" w:rsidP="00043B3E">
      <w:pPr>
        <w:pStyle w:val="ListParagraph"/>
        <w:numPr>
          <w:ilvl w:val="0"/>
          <w:numId w:val="17"/>
        </w:numPr>
        <w:rPr>
          <w:rFonts w:asciiTheme="minorHAnsi" w:hAnsiTheme="minorHAnsi" w:cstheme="minorHAnsi"/>
          <w:szCs w:val="22"/>
        </w:rPr>
      </w:pPr>
      <w:r w:rsidRPr="00AD1DFD">
        <w:rPr>
          <w:rFonts w:asciiTheme="minorHAnsi" w:hAnsiTheme="minorHAnsi" w:cstheme="minorHAnsi"/>
          <w:szCs w:val="22"/>
        </w:rPr>
        <w:t xml:space="preserve">facilities </w:t>
      </w:r>
      <w:r w:rsidR="00043B3E" w:rsidRPr="00AD1DFD">
        <w:rPr>
          <w:rFonts w:asciiTheme="minorHAnsi" w:hAnsiTheme="minorHAnsi" w:cstheme="minorHAnsi"/>
          <w:szCs w:val="22"/>
        </w:rPr>
        <w:t>provided as business support</w:t>
      </w:r>
    </w:p>
    <w:p w:rsidR="00D01A3E" w:rsidRPr="00AD1DFD" w:rsidRDefault="00D01A3E" w:rsidP="00043B3E">
      <w:pPr>
        <w:pStyle w:val="ListParagraph"/>
        <w:numPr>
          <w:ilvl w:val="0"/>
          <w:numId w:val="17"/>
        </w:numPr>
        <w:rPr>
          <w:rFonts w:asciiTheme="minorHAnsi" w:hAnsiTheme="minorHAnsi" w:cstheme="minorHAnsi"/>
          <w:szCs w:val="22"/>
        </w:rPr>
      </w:pPr>
      <w:r w:rsidRPr="00AD1DFD">
        <w:rPr>
          <w:rFonts w:asciiTheme="minorHAnsi" w:hAnsiTheme="minorHAnsi" w:cstheme="minorHAnsi"/>
          <w:szCs w:val="22"/>
        </w:rPr>
        <w:t xml:space="preserve">removal costs, accommodation </w:t>
      </w:r>
      <w:r w:rsidR="00043B3E" w:rsidRPr="00AD1DFD">
        <w:rPr>
          <w:rFonts w:asciiTheme="minorHAnsi" w:hAnsiTheme="minorHAnsi" w:cstheme="minorHAnsi"/>
          <w:szCs w:val="22"/>
        </w:rPr>
        <w:t>allowances and reunion airfares,</w:t>
      </w:r>
      <w:r w:rsidRPr="00AD1DFD">
        <w:rPr>
          <w:rFonts w:asciiTheme="minorHAnsi" w:hAnsiTheme="minorHAnsi" w:cstheme="minorHAnsi"/>
          <w:szCs w:val="22"/>
        </w:rPr>
        <w:t xml:space="preserve"> or</w:t>
      </w:r>
    </w:p>
    <w:p w:rsidR="00051F67" w:rsidRPr="00AD1DFD" w:rsidRDefault="00D01A3E" w:rsidP="00043B3E">
      <w:pPr>
        <w:pStyle w:val="ListParagraph"/>
        <w:numPr>
          <w:ilvl w:val="0"/>
          <w:numId w:val="17"/>
        </w:numPr>
        <w:rPr>
          <w:rFonts w:asciiTheme="minorHAnsi" w:hAnsiTheme="minorHAnsi" w:cstheme="minorHAnsi"/>
          <w:szCs w:val="22"/>
        </w:rPr>
      </w:pPr>
      <w:proofErr w:type="gramStart"/>
      <w:r w:rsidRPr="00AD1DFD">
        <w:rPr>
          <w:rFonts w:asciiTheme="minorHAnsi" w:hAnsiTheme="minorHAnsi" w:cstheme="minorHAnsi"/>
          <w:szCs w:val="22"/>
        </w:rPr>
        <w:t>travel</w:t>
      </w:r>
      <w:proofErr w:type="gramEnd"/>
      <w:r w:rsidRPr="00AD1DFD">
        <w:rPr>
          <w:rFonts w:asciiTheme="minorHAnsi" w:hAnsiTheme="minorHAnsi" w:cstheme="minorHAnsi"/>
          <w:szCs w:val="22"/>
        </w:rPr>
        <w:t xml:space="preserve"> allowances and expenditure.</w:t>
      </w:r>
    </w:p>
    <w:p w:rsidR="00043B3E" w:rsidRPr="00AD1DFD" w:rsidRDefault="00043B3E" w:rsidP="00043B3E">
      <w:pPr>
        <w:pStyle w:val="ListParagraph"/>
        <w:ind w:left="1148"/>
        <w:rPr>
          <w:rFonts w:asciiTheme="minorHAnsi" w:hAnsiTheme="minorHAnsi" w:cstheme="minorHAnsi"/>
          <w:szCs w:val="22"/>
        </w:rPr>
      </w:pPr>
    </w:p>
    <w:p w:rsidR="0089464A" w:rsidRPr="00AD1DFD" w:rsidRDefault="0089464A" w:rsidP="006B77C7">
      <w:pPr>
        <w:pStyle w:val="ListParagraph"/>
        <w:numPr>
          <w:ilvl w:val="0"/>
          <w:numId w:val="1"/>
        </w:numPr>
        <w:rPr>
          <w:rFonts w:asciiTheme="minorHAnsi" w:hAnsiTheme="minorHAnsi" w:cstheme="minorHAnsi"/>
          <w:szCs w:val="22"/>
        </w:rPr>
        <w:sectPr w:rsidR="0089464A" w:rsidRPr="00AD1DFD" w:rsidSect="00E46CD8">
          <w:footerReference w:type="default" r:id="rId12"/>
          <w:footerReference w:type="first" r:id="rId13"/>
          <w:pgSz w:w="11906" w:h="16838" w:code="9"/>
          <w:pgMar w:top="567" w:right="851" w:bottom="1134" w:left="851" w:header="425" w:footer="448" w:gutter="0"/>
          <w:cols w:space="720"/>
          <w:titlePg/>
          <w:docGrid w:linePitch="299"/>
        </w:sectPr>
      </w:pPr>
    </w:p>
    <w:p w:rsidR="00051F67" w:rsidRPr="00AD1DFD" w:rsidRDefault="00051F67" w:rsidP="00051F67">
      <w:pPr>
        <w:jc w:val="right"/>
        <w:rPr>
          <w:rFonts w:asciiTheme="minorHAnsi" w:hAnsiTheme="minorHAnsi" w:cstheme="minorHAnsi"/>
          <w:b/>
          <w:sz w:val="23"/>
          <w:szCs w:val="23"/>
        </w:rPr>
      </w:pPr>
      <w:r w:rsidRPr="00AD1DFD">
        <w:rPr>
          <w:rFonts w:asciiTheme="minorHAnsi" w:hAnsiTheme="minorHAnsi" w:cstheme="minorHAnsi"/>
          <w:b/>
          <w:sz w:val="23"/>
          <w:szCs w:val="23"/>
        </w:rPr>
        <w:lastRenderedPageBreak/>
        <w:t xml:space="preserve">Appendix </w:t>
      </w:r>
      <w:r w:rsidR="004160FA" w:rsidRPr="00AD1DFD">
        <w:rPr>
          <w:rFonts w:asciiTheme="minorHAnsi" w:hAnsiTheme="minorHAnsi" w:cstheme="minorHAnsi"/>
          <w:b/>
          <w:sz w:val="23"/>
          <w:szCs w:val="23"/>
        </w:rPr>
        <w:t>1</w:t>
      </w:r>
    </w:p>
    <w:p w:rsidR="003C755C" w:rsidRPr="00AD1DFD" w:rsidRDefault="00B54305" w:rsidP="00051F67">
      <w:pPr>
        <w:rPr>
          <w:rFonts w:asciiTheme="minorHAnsi" w:hAnsiTheme="minorHAnsi" w:cstheme="minorHAnsi"/>
          <w:b/>
          <w:sz w:val="16"/>
        </w:rPr>
      </w:pPr>
      <w:r w:rsidRPr="00AD1DFD">
        <w:rPr>
          <w:rFonts w:asciiTheme="minorHAnsi" w:hAnsiTheme="minorHAnsi" w:cstheme="minorHAnsi"/>
          <w:b/>
          <w:sz w:val="23"/>
          <w:szCs w:val="23"/>
        </w:rPr>
        <w:t xml:space="preserve">APS </w:t>
      </w:r>
      <w:r w:rsidR="006A1144" w:rsidRPr="00AD1DFD">
        <w:rPr>
          <w:rFonts w:asciiTheme="minorHAnsi" w:hAnsiTheme="minorHAnsi" w:cstheme="minorHAnsi"/>
          <w:b/>
          <w:sz w:val="23"/>
          <w:szCs w:val="23"/>
        </w:rPr>
        <w:t>Executive Remuneration proposal form</w:t>
      </w:r>
    </w:p>
    <w:p w:rsidR="00D9262E" w:rsidRPr="00AD1DFD" w:rsidRDefault="00D9262E" w:rsidP="00051F67">
      <w:pPr>
        <w:rPr>
          <w:rFonts w:asciiTheme="minorHAnsi" w:hAnsiTheme="minorHAnsi" w:cstheme="minorHAnsi"/>
          <w:sz w:val="16"/>
        </w:rPr>
        <w:sectPr w:rsidR="00D9262E" w:rsidRPr="00AD1DFD" w:rsidSect="00445565">
          <w:footerReference w:type="first" r:id="rId14"/>
          <w:pgSz w:w="11906" w:h="16838" w:code="9"/>
          <w:pgMar w:top="567" w:right="851" w:bottom="992" w:left="1134" w:header="567" w:footer="134"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p>
    <w:p w:rsidR="00B54305" w:rsidRPr="00AD1DFD" w:rsidRDefault="00EC1062" w:rsidP="00760725">
      <w:pPr>
        <w:rPr>
          <w:rFonts w:asciiTheme="minorHAnsi" w:hAnsiTheme="minorHAnsi" w:cstheme="minorHAnsi"/>
          <w:sz w:val="18"/>
          <w:szCs w:val="18"/>
        </w:rPr>
      </w:pPr>
      <w:r w:rsidRPr="00AD1DFD">
        <w:rPr>
          <w:rFonts w:asciiTheme="minorHAnsi" w:hAnsiTheme="minorHAnsi" w:cstheme="minorHAnsi"/>
          <w:sz w:val="18"/>
          <w:szCs w:val="18"/>
        </w:rPr>
        <w:t xml:space="preserve">This form </w:t>
      </w:r>
      <w:r w:rsidR="0016332D" w:rsidRPr="00AD1DFD">
        <w:rPr>
          <w:rFonts w:asciiTheme="minorHAnsi" w:hAnsiTheme="minorHAnsi" w:cstheme="minorHAnsi"/>
          <w:sz w:val="18"/>
          <w:szCs w:val="18"/>
        </w:rPr>
        <w:t xml:space="preserve">is to </w:t>
      </w:r>
      <w:r w:rsidRPr="00AD1DFD">
        <w:rPr>
          <w:rFonts w:asciiTheme="minorHAnsi" w:hAnsiTheme="minorHAnsi" w:cstheme="minorHAnsi"/>
          <w:sz w:val="18"/>
          <w:szCs w:val="18"/>
        </w:rPr>
        <w:t xml:space="preserve">be completed </w:t>
      </w:r>
      <w:r w:rsidR="004E4E03" w:rsidRPr="00AD1DFD">
        <w:rPr>
          <w:rFonts w:asciiTheme="minorHAnsi" w:hAnsiTheme="minorHAnsi" w:cstheme="minorHAnsi"/>
          <w:sz w:val="18"/>
          <w:szCs w:val="18"/>
        </w:rPr>
        <w:t xml:space="preserve">to obtain approval from the </w:t>
      </w:r>
      <w:r w:rsidR="00A03520" w:rsidRPr="00AD1DFD">
        <w:rPr>
          <w:rFonts w:asciiTheme="minorHAnsi" w:hAnsiTheme="minorHAnsi" w:cstheme="minorHAnsi"/>
          <w:sz w:val="18"/>
          <w:szCs w:val="18"/>
        </w:rPr>
        <w:t xml:space="preserve">Australian </w:t>
      </w:r>
      <w:r w:rsidR="004E4E03" w:rsidRPr="00AD1DFD">
        <w:rPr>
          <w:rFonts w:asciiTheme="minorHAnsi" w:hAnsiTheme="minorHAnsi" w:cstheme="minorHAnsi"/>
          <w:sz w:val="18"/>
          <w:szCs w:val="18"/>
        </w:rPr>
        <w:t xml:space="preserve">Public Service Commissioner before offering an SES or non-SES employee a </w:t>
      </w:r>
      <w:r w:rsidR="00721EE4" w:rsidRPr="00AD1DFD">
        <w:rPr>
          <w:rFonts w:asciiTheme="minorHAnsi" w:hAnsiTheme="minorHAnsi" w:cstheme="minorHAnsi"/>
          <w:sz w:val="18"/>
          <w:szCs w:val="18"/>
        </w:rPr>
        <w:t>remuneration</w:t>
      </w:r>
      <w:r w:rsidR="004E4E03" w:rsidRPr="00AD1DFD">
        <w:rPr>
          <w:rFonts w:asciiTheme="minorHAnsi" w:hAnsiTheme="minorHAnsi" w:cstheme="minorHAnsi"/>
          <w:sz w:val="18"/>
          <w:szCs w:val="18"/>
        </w:rPr>
        <w:t xml:space="preserve"> package </w:t>
      </w:r>
      <w:r w:rsidR="00721EE4" w:rsidRPr="00AD1DFD">
        <w:rPr>
          <w:rFonts w:asciiTheme="minorHAnsi" w:hAnsiTheme="minorHAnsi" w:cstheme="minorHAnsi"/>
          <w:sz w:val="18"/>
          <w:szCs w:val="18"/>
        </w:rPr>
        <w:t>valued</w:t>
      </w:r>
      <w:r w:rsidR="004E4E03" w:rsidRPr="00AD1DFD">
        <w:rPr>
          <w:rFonts w:asciiTheme="minorHAnsi" w:hAnsiTheme="minorHAnsi" w:cstheme="minorHAnsi"/>
          <w:sz w:val="18"/>
          <w:szCs w:val="18"/>
        </w:rPr>
        <w:t xml:space="preserve"> in excess of the notional amount prescribed in the </w:t>
      </w:r>
      <w:r w:rsidRPr="00AD1DFD">
        <w:rPr>
          <w:rFonts w:asciiTheme="minorHAnsi" w:hAnsiTheme="minorHAnsi" w:cstheme="minorHAnsi"/>
          <w:i/>
          <w:sz w:val="18"/>
          <w:szCs w:val="18"/>
        </w:rPr>
        <w:t>APS Executive Remuneration Management Policy</w:t>
      </w:r>
      <w:r w:rsidRPr="00AD1DFD">
        <w:rPr>
          <w:rFonts w:asciiTheme="minorHAnsi" w:hAnsiTheme="minorHAnsi" w:cstheme="minorHAnsi"/>
          <w:sz w:val="18"/>
          <w:szCs w:val="18"/>
        </w:rPr>
        <w:t>.</w:t>
      </w:r>
      <w:r w:rsidR="004B58CC" w:rsidRPr="00AD1DFD">
        <w:rPr>
          <w:rFonts w:asciiTheme="minorHAnsi" w:hAnsiTheme="minorHAnsi" w:cstheme="minorHAnsi"/>
          <w:sz w:val="18"/>
          <w:szCs w:val="18"/>
        </w:rPr>
        <w:t xml:space="preserve">  </w:t>
      </w:r>
      <w:r w:rsidRPr="00AD1DFD">
        <w:rPr>
          <w:rFonts w:asciiTheme="minorHAnsi" w:hAnsiTheme="minorHAnsi" w:cstheme="minorHAnsi"/>
          <w:sz w:val="18"/>
          <w:szCs w:val="18"/>
        </w:rPr>
        <w:t xml:space="preserve">Agency heads may need to provide documentation, in addition to the completed form, to support their proposal. For instance, where market forces are a factor in justifying the level of remuneration, it will be necessary to provide </w:t>
      </w:r>
      <w:r w:rsidR="0016332D" w:rsidRPr="00AD1DFD">
        <w:rPr>
          <w:rFonts w:asciiTheme="minorHAnsi" w:hAnsiTheme="minorHAnsi" w:cstheme="minorHAnsi"/>
          <w:sz w:val="18"/>
          <w:szCs w:val="18"/>
        </w:rPr>
        <w:t xml:space="preserve">details of </w:t>
      </w:r>
      <w:r w:rsidRPr="00AD1DFD">
        <w:rPr>
          <w:rFonts w:asciiTheme="minorHAnsi" w:hAnsiTheme="minorHAnsi" w:cstheme="minorHAnsi"/>
          <w:sz w:val="18"/>
          <w:szCs w:val="18"/>
        </w:rPr>
        <w:t>the market data relied on and any other relevant evidence supporting the proposal.</w:t>
      </w:r>
    </w:p>
    <w:p w:rsidR="00B54305" w:rsidRPr="00AD1DFD" w:rsidRDefault="00B54305" w:rsidP="00B54305">
      <w:pPr>
        <w:pBdr>
          <w:bottom w:val="single" w:sz="6" w:space="1" w:color="auto"/>
        </w:pBdr>
        <w:rPr>
          <w:rFonts w:asciiTheme="minorHAnsi" w:hAnsiTheme="minorHAnsi" w:cstheme="minorHAnsi"/>
          <w:sz w:val="16"/>
          <w:szCs w:val="18"/>
        </w:rPr>
      </w:pPr>
    </w:p>
    <w:p w:rsidR="004B58CC" w:rsidRPr="00AD1DFD" w:rsidRDefault="004B58CC" w:rsidP="00051F67">
      <w:pPr>
        <w:autoSpaceDE w:val="0"/>
        <w:autoSpaceDN w:val="0"/>
        <w:adjustRightInd w:val="0"/>
        <w:rPr>
          <w:rFonts w:asciiTheme="minorHAnsi" w:hAnsiTheme="minorHAnsi" w:cstheme="minorHAnsi"/>
          <w:b/>
          <w:sz w:val="16"/>
          <w:szCs w:val="18"/>
        </w:rPr>
        <w:sectPr w:rsidR="004B58CC" w:rsidRPr="00AD1DFD" w:rsidSect="00445565">
          <w:type w:val="continuous"/>
          <w:pgSz w:w="11906" w:h="16838" w:code="9"/>
          <w:pgMar w:top="709" w:right="851" w:bottom="992" w:left="1134" w:header="567" w:footer="134"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p>
    <w:p w:rsidR="004B58CC" w:rsidRPr="00AD1DFD" w:rsidRDefault="007B7AC5" w:rsidP="007B7AC5">
      <w:pPr>
        <w:autoSpaceDE w:val="0"/>
        <w:autoSpaceDN w:val="0"/>
        <w:adjustRightInd w:val="0"/>
        <w:spacing w:after="120"/>
        <w:rPr>
          <w:rFonts w:asciiTheme="minorHAnsi" w:hAnsiTheme="minorHAnsi" w:cstheme="minorHAnsi"/>
          <w:sz w:val="16"/>
          <w:szCs w:val="16"/>
        </w:rPr>
      </w:pPr>
      <w:r w:rsidRPr="00AD1DFD">
        <w:rPr>
          <w:rFonts w:asciiTheme="minorHAnsi" w:hAnsiTheme="minorHAnsi" w:cstheme="minorHAnsi"/>
          <w:sz w:val="16"/>
          <w:szCs w:val="16"/>
        </w:rPr>
        <w:t xml:space="preserve"> </w:t>
      </w:r>
      <w:r w:rsidR="004B58CC" w:rsidRPr="00AD1DFD">
        <w:rPr>
          <w:rFonts w:asciiTheme="minorHAnsi" w:hAnsiTheme="minorHAnsi" w:cstheme="minorHAnsi"/>
          <w:sz w:val="16"/>
          <w:szCs w:val="16"/>
        </w:rPr>
        <w:t>‘</w:t>
      </w:r>
      <w:r w:rsidR="004B58CC" w:rsidRPr="00AD1DFD">
        <w:rPr>
          <w:rFonts w:asciiTheme="minorHAnsi" w:hAnsiTheme="minorHAnsi" w:cstheme="minorHAnsi"/>
          <w:b/>
          <w:sz w:val="16"/>
          <w:szCs w:val="16"/>
        </w:rPr>
        <w:t>Benefits</w:t>
      </w:r>
      <w:r w:rsidR="004B58CC" w:rsidRPr="00AD1DFD">
        <w:rPr>
          <w:rFonts w:asciiTheme="minorHAnsi" w:hAnsiTheme="minorHAnsi" w:cstheme="minorHAnsi"/>
          <w:sz w:val="16"/>
          <w:szCs w:val="16"/>
        </w:rPr>
        <w:t>’ means benefits, other than cash and the employer's superannuation contribution, provided to an employee at the Commonwealth’s expense, and includes any Commonwealth provided vehicle that the employee elects to receive and the value of parking.</w:t>
      </w:r>
    </w:p>
    <w:p w:rsidR="004B58CC" w:rsidRPr="00AD1DFD" w:rsidRDefault="004B58CC" w:rsidP="007B7AC5">
      <w:pPr>
        <w:autoSpaceDE w:val="0"/>
        <w:autoSpaceDN w:val="0"/>
        <w:adjustRightInd w:val="0"/>
        <w:spacing w:before="120"/>
        <w:rPr>
          <w:rFonts w:asciiTheme="minorHAnsi" w:hAnsiTheme="minorHAnsi" w:cstheme="minorHAnsi"/>
          <w:sz w:val="16"/>
          <w:szCs w:val="16"/>
        </w:rPr>
      </w:pPr>
      <w:r w:rsidRPr="00AD1DFD">
        <w:rPr>
          <w:rFonts w:asciiTheme="minorHAnsi" w:hAnsiTheme="minorHAnsi" w:cstheme="minorHAnsi"/>
          <w:sz w:val="16"/>
          <w:szCs w:val="16"/>
        </w:rPr>
        <w:t>‘</w:t>
      </w:r>
      <w:r w:rsidRPr="00AD1DFD">
        <w:rPr>
          <w:rFonts w:asciiTheme="minorHAnsi" w:hAnsiTheme="minorHAnsi" w:cstheme="minorHAnsi"/>
          <w:b/>
          <w:sz w:val="16"/>
          <w:szCs w:val="16"/>
        </w:rPr>
        <w:t>Bonuses</w:t>
      </w:r>
      <w:r w:rsidRPr="00AD1DFD">
        <w:rPr>
          <w:rFonts w:asciiTheme="minorHAnsi" w:hAnsiTheme="minorHAnsi" w:cstheme="minorHAnsi"/>
          <w:sz w:val="16"/>
          <w:szCs w:val="16"/>
        </w:rPr>
        <w:t>’ include performance pay and any bonuses. The value to be declared is the maximum amount that may be paid.</w:t>
      </w:r>
    </w:p>
    <w:p w:rsidR="00051F67" w:rsidRPr="00AD1DFD" w:rsidRDefault="00051F67" w:rsidP="007B7AC5">
      <w:pPr>
        <w:autoSpaceDE w:val="0"/>
        <w:autoSpaceDN w:val="0"/>
        <w:adjustRightInd w:val="0"/>
        <w:spacing w:before="120"/>
        <w:rPr>
          <w:rFonts w:asciiTheme="minorHAnsi" w:hAnsiTheme="minorHAnsi" w:cstheme="minorHAnsi"/>
          <w:sz w:val="16"/>
          <w:szCs w:val="16"/>
        </w:rPr>
      </w:pPr>
      <w:r w:rsidRPr="00AD1DFD">
        <w:rPr>
          <w:rFonts w:asciiTheme="minorHAnsi" w:hAnsiTheme="minorHAnsi" w:cstheme="minorHAnsi"/>
          <w:sz w:val="16"/>
          <w:szCs w:val="16"/>
        </w:rPr>
        <w:t>‘</w:t>
      </w:r>
      <w:r w:rsidRPr="00AD1DFD">
        <w:rPr>
          <w:rFonts w:asciiTheme="minorHAnsi" w:hAnsiTheme="minorHAnsi" w:cstheme="minorHAnsi"/>
          <w:b/>
          <w:sz w:val="16"/>
          <w:szCs w:val="16"/>
        </w:rPr>
        <w:t>Employer's superannuation contribution</w:t>
      </w:r>
      <w:r w:rsidRPr="00AD1DFD">
        <w:rPr>
          <w:rFonts w:asciiTheme="minorHAnsi" w:hAnsiTheme="minorHAnsi" w:cstheme="minorHAnsi"/>
          <w:sz w:val="16"/>
          <w:szCs w:val="16"/>
        </w:rPr>
        <w:t>’ means payments made by the Commonwealth in respect of the employee to:</w:t>
      </w:r>
    </w:p>
    <w:p w:rsidR="00051F67" w:rsidRPr="00AD1DFD" w:rsidRDefault="00051F67" w:rsidP="007B7AC5">
      <w:pPr>
        <w:pStyle w:val="ListParagraph"/>
        <w:numPr>
          <w:ilvl w:val="0"/>
          <w:numId w:val="7"/>
        </w:numPr>
        <w:autoSpaceDE w:val="0"/>
        <w:autoSpaceDN w:val="0"/>
        <w:adjustRightInd w:val="0"/>
        <w:spacing w:after="120"/>
        <w:ind w:left="284" w:hanging="284"/>
        <w:rPr>
          <w:rFonts w:asciiTheme="minorHAnsi" w:hAnsiTheme="minorHAnsi" w:cstheme="minorHAnsi"/>
          <w:sz w:val="16"/>
          <w:szCs w:val="16"/>
        </w:rPr>
      </w:pPr>
      <w:r w:rsidRPr="00AD1DFD">
        <w:rPr>
          <w:rFonts w:asciiTheme="minorHAnsi" w:hAnsiTheme="minorHAnsi" w:cstheme="minorHAnsi"/>
          <w:sz w:val="16"/>
          <w:szCs w:val="16"/>
        </w:rPr>
        <w:t>a Commonwealth defined benefit scheme (including the Commonwealth Superannuation Scheme or the Public Sector Superannuation Scheme); or</w:t>
      </w:r>
    </w:p>
    <w:p w:rsidR="00051F67" w:rsidRPr="00AD1DFD" w:rsidRDefault="00051F67" w:rsidP="003D0538">
      <w:pPr>
        <w:pStyle w:val="ListParagraph"/>
        <w:numPr>
          <w:ilvl w:val="0"/>
          <w:numId w:val="7"/>
        </w:numPr>
        <w:autoSpaceDE w:val="0"/>
        <w:autoSpaceDN w:val="0"/>
        <w:adjustRightInd w:val="0"/>
        <w:spacing w:before="120" w:after="120"/>
        <w:ind w:left="284" w:hanging="284"/>
        <w:rPr>
          <w:rFonts w:asciiTheme="minorHAnsi" w:hAnsiTheme="minorHAnsi" w:cstheme="minorHAnsi"/>
          <w:sz w:val="16"/>
          <w:szCs w:val="16"/>
        </w:rPr>
      </w:pPr>
      <w:proofErr w:type="gramStart"/>
      <w:r w:rsidRPr="00AD1DFD">
        <w:rPr>
          <w:rFonts w:asciiTheme="minorHAnsi" w:hAnsiTheme="minorHAnsi" w:cstheme="minorHAnsi"/>
          <w:sz w:val="16"/>
          <w:szCs w:val="16"/>
        </w:rPr>
        <w:t>another</w:t>
      </w:r>
      <w:proofErr w:type="gramEnd"/>
      <w:r w:rsidRPr="00AD1DFD">
        <w:rPr>
          <w:rFonts w:asciiTheme="minorHAnsi" w:hAnsiTheme="minorHAnsi" w:cstheme="minorHAnsi"/>
          <w:sz w:val="16"/>
          <w:szCs w:val="16"/>
        </w:rPr>
        <w:t xml:space="preserve"> superannuation fund.</w:t>
      </w:r>
    </w:p>
    <w:p w:rsidR="007B7AC5" w:rsidRPr="00AD1DFD" w:rsidRDefault="00051F67" w:rsidP="007B7AC5">
      <w:pPr>
        <w:spacing w:before="120" w:after="120"/>
        <w:rPr>
          <w:rFonts w:asciiTheme="minorHAnsi" w:hAnsiTheme="minorHAnsi" w:cstheme="minorHAnsi"/>
          <w:sz w:val="16"/>
          <w:szCs w:val="16"/>
        </w:rPr>
      </w:pPr>
      <w:r w:rsidRPr="00AD1DFD">
        <w:rPr>
          <w:rFonts w:asciiTheme="minorHAnsi" w:hAnsiTheme="minorHAnsi" w:cstheme="minorHAnsi"/>
          <w:sz w:val="16"/>
          <w:szCs w:val="16"/>
        </w:rPr>
        <w:t>For the purposes of the defined benefit schemes, a notional value calculated as 15.4% of superannuation salary is to be used as the value of the employer’s superannuation contribution.</w:t>
      </w:r>
      <w:r w:rsidR="007B7AC5" w:rsidRPr="00AD1DFD">
        <w:rPr>
          <w:rFonts w:asciiTheme="minorHAnsi" w:hAnsiTheme="minorHAnsi" w:cstheme="minorHAnsi"/>
          <w:sz w:val="16"/>
          <w:szCs w:val="16"/>
        </w:rPr>
        <w:t xml:space="preserve">  For accumulation plan schemes, a notional value calculated as 15.4% of salary is to be used as the value of the employer’s superannuation contribution.</w:t>
      </w:r>
    </w:p>
    <w:p w:rsidR="004B58CC" w:rsidRPr="00AD1DFD" w:rsidRDefault="00051F67" w:rsidP="007B37C8">
      <w:pPr>
        <w:autoSpaceDE w:val="0"/>
        <w:autoSpaceDN w:val="0"/>
        <w:adjustRightInd w:val="0"/>
        <w:spacing w:before="120"/>
        <w:rPr>
          <w:rFonts w:asciiTheme="minorHAnsi" w:hAnsiTheme="minorHAnsi" w:cstheme="minorHAnsi"/>
          <w:sz w:val="16"/>
          <w:szCs w:val="16"/>
        </w:rPr>
      </w:pPr>
      <w:r w:rsidRPr="00AD1DFD">
        <w:rPr>
          <w:rFonts w:asciiTheme="minorHAnsi" w:hAnsiTheme="minorHAnsi" w:cstheme="minorHAnsi"/>
          <w:sz w:val="16"/>
          <w:szCs w:val="16"/>
        </w:rPr>
        <w:t>‘</w:t>
      </w:r>
      <w:r w:rsidRPr="00AD1DFD">
        <w:rPr>
          <w:rFonts w:asciiTheme="minorHAnsi" w:hAnsiTheme="minorHAnsi" w:cstheme="minorHAnsi"/>
          <w:b/>
          <w:sz w:val="16"/>
          <w:szCs w:val="16"/>
        </w:rPr>
        <w:t>Facilities provided as business support</w:t>
      </w:r>
      <w:r w:rsidRPr="00AD1DFD">
        <w:rPr>
          <w:rFonts w:asciiTheme="minorHAnsi" w:hAnsiTheme="minorHAnsi" w:cstheme="minorHAnsi"/>
          <w:sz w:val="16"/>
          <w:szCs w:val="16"/>
        </w:rPr>
        <w:t>’ are those communications, information technology and other office facilities provided to the employee that are necessary for the efficient conduct of the Commonwealth’s business. Incidental private use may be included. The facilities also include airline lounge memberships.</w:t>
      </w:r>
    </w:p>
    <w:p w:rsidR="007B7AC5" w:rsidRPr="00AD1DFD" w:rsidRDefault="007B7AC5" w:rsidP="007B7AC5">
      <w:pPr>
        <w:autoSpaceDE w:val="0"/>
        <w:autoSpaceDN w:val="0"/>
        <w:adjustRightInd w:val="0"/>
        <w:spacing w:before="120"/>
        <w:rPr>
          <w:rFonts w:asciiTheme="minorHAnsi" w:hAnsiTheme="minorHAnsi" w:cstheme="minorHAnsi"/>
          <w:sz w:val="16"/>
          <w:szCs w:val="16"/>
        </w:rPr>
      </w:pPr>
      <w:r w:rsidRPr="00AD1DFD">
        <w:rPr>
          <w:rFonts w:asciiTheme="minorHAnsi" w:hAnsiTheme="minorHAnsi" w:cstheme="minorHAnsi"/>
          <w:b/>
          <w:sz w:val="16"/>
          <w:szCs w:val="16"/>
        </w:rPr>
        <w:t>‘Total Remuneration’</w:t>
      </w:r>
      <w:r w:rsidRPr="00AD1DFD">
        <w:rPr>
          <w:rFonts w:asciiTheme="minorHAnsi" w:hAnsiTheme="minorHAnsi" w:cstheme="minorHAnsi"/>
          <w:sz w:val="16"/>
          <w:szCs w:val="16"/>
        </w:rPr>
        <w:t xml:space="preserve"> represents the aggregate value, calculated as the total cost to the employer (including FBT) and expressed as an annual amount, of:</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salary, allowances or lump sum payments (including payments in lieu of motor vehicle benefits, however paid);</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 xml:space="preserve">the employer’s superannuation contribution; </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performance pay and bonuses; and</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benefits;</w:t>
      </w:r>
    </w:p>
    <w:p w:rsidR="007B7AC5" w:rsidRPr="00AD1DFD" w:rsidRDefault="007B7AC5" w:rsidP="007B7AC5">
      <w:pPr>
        <w:rPr>
          <w:rFonts w:asciiTheme="minorHAnsi" w:hAnsiTheme="minorHAnsi" w:cstheme="minorHAnsi"/>
          <w:sz w:val="16"/>
          <w:szCs w:val="16"/>
        </w:rPr>
      </w:pPr>
      <w:proofErr w:type="gramStart"/>
      <w:r w:rsidRPr="00AD1DFD">
        <w:rPr>
          <w:rFonts w:asciiTheme="minorHAnsi" w:hAnsiTheme="minorHAnsi" w:cstheme="minorHAnsi"/>
          <w:sz w:val="16"/>
          <w:szCs w:val="16"/>
        </w:rPr>
        <w:t>but</w:t>
      </w:r>
      <w:proofErr w:type="gramEnd"/>
      <w:r w:rsidRPr="00AD1DFD">
        <w:rPr>
          <w:rFonts w:asciiTheme="minorHAnsi" w:hAnsiTheme="minorHAnsi" w:cstheme="minorHAnsi"/>
          <w:sz w:val="16"/>
          <w:szCs w:val="16"/>
        </w:rPr>
        <w:t xml:space="preserve"> does not include:</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facilities provided as business support;</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removal costs, accommodation allowances and reunion airfares; or</w:t>
      </w:r>
    </w:p>
    <w:p w:rsidR="007B7AC5" w:rsidRPr="00AD1DFD" w:rsidRDefault="007B7AC5" w:rsidP="007B7AC5">
      <w:pPr>
        <w:pStyle w:val="ListParagraph"/>
        <w:numPr>
          <w:ilvl w:val="0"/>
          <w:numId w:val="1"/>
        </w:numPr>
        <w:ind w:left="567"/>
        <w:rPr>
          <w:rFonts w:asciiTheme="minorHAnsi" w:hAnsiTheme="minorHAnsi" w:cstheme="minorHAnsi"/>
          <w:sz w:val="16"/>
          <w:szCs w:val="16"/>
        </w:rPr>
      </w:pPr>
      <w:proofErr w:type="gramStart"/>
      <w:r w:rsidRPr="00AD1DFD">
        <w:rPr>
          <w:rFonts w:asciiTheme="minorHAnsi" w:hAnsiTheme="minorHAnsi" w:cstheme="minorHAnsi"/>
          <w:sz w:val="16"/>
          <w:szCs w:val="16"/>
        </w:rPr>
        <w:t>travel</w:t>
      </w:r>
      <w:proofErr w:type="gramEnd"/>
      <w:r w:rsidRPr="00AD1DFD">
        <w:rPr>
          <w:rFonts w:asciiTheme="minorHAnsi" w:hAnsiTheme="minorHAnsi" w:cstheme="minorHAnsi"/>
          <w:sz w:val="16"/>
          <w:szCs w:val="16"/>
        </w:rPr>
        <w:t xml:space="preserve"> allowances and expenditure.</w:t>
      </w:r>
    </w:p>
    <w:p w:rsidR="004B58CC" w:rsidRPr="00AD1DFD" w:rsidRDefault="004B58CC" w:rsidP="004B58CC">
      <w:pPr>
        <w:autoSpaceDE w:val="0"/>
        <w:autoSpaceDN w:val="0"/>
        <w:adjustRightInd w:val="0"/>
        <w:spacing w:before="120" w:after="120"/>
        <w:rPr>
          <w:rFonts w:asciiTheme="minorHAnsi" w:hAnsiTheme="minorHAnsi" w:cstheme="minorHAnsi"/>
          <w:sz w:val="16"/>
          <w:szCs w:val="16"/>
        </w:rPr>
        <w:sectPr w:rsidR="004B58CC" w:rsidRPr="00AD1DFD" w:rsidSect="00445565">
          <w:type w:val="continuous"/>
          <w:pgSz w:w="11906" w:h="16838" w:code="9"/>
          <w:pgMar w:top="709" w:right="851" w:bottom="992" w:left="1134" w:header="567" w:footer="134" w:gutter="0"/>
          <w:pgBorders w:offsetFrom="page">
            <w:top w:val="single" w:sz="4" w:space="24" w:color="auto"/>
            <w:left w:val="single" w:sz="4" w:space="24" w:color="auto"/>
            <w:bottom w:val="single" w:sz="4" w:space="24" w:color="auto"/>
            <w:right w:val="single" w:sz="4" w:space="24" w:color="auto"/>
          </w:pgBorders>
          <w:cols w:num="2" w:space="720"/>
          <w:titlePg/>
          <w:docGrid w:linePitch="272"/>
        </w:sectPr>
      </w:pPr>
    </w:p>
    <w:p w:rsidR="007B37C8" w:rsidRPr="00AD1DFD" w:rsidRDefault="007B37C8" w:rsidP="00051F67">
      <w:pPr>
        <w:pBdr>
          <w:bottom w:val="single" w:sz="6" w:space="1" w:color="auto"/>
        </w:pBdr>
        <w:rPr>
          <w:rFonts w:asciiTheme="minorHAnsi" w:hAnsiTheme="minorHAnsi" w:cstheme="minorHAnsi"/>
          <w:b/>
          <w:sz w:val="16"/>
          <w:szCs w:val="16"/>
        </w:rPr>
      </w:pPr>
    </w:p>
    <w:p w:rsidR="00051F67" w:rsidRPr="00AD1DFD" w:rsidRDefault="00051F67" w:rsidP="00051F67">
      <w:pPr>
        <w:rPr>
          <w:rFonts w:asciiTheme="minorHAnsi" w:hAnsiTheme="minorHAnsi" w:cstheme="minorHAnsi"/>
          <w:b/>
          <w:szCs w:val="22"/>
        </w:rPr>
      </w:pPr>
      <w:r w:rsidRPr="00AD1DFD">
        <w:rPr>
          <w:rFonts w:asciiTheme="minorHAnsi" w:hAnsiTheme="minorHAnsi" w:cstheme="minorHAnsi"/>
          <w:b/>
          <w:szCs w:val="22"/>
        </w:rPr>
        <w:t>Declaration</w:t>
      </w:r>
    </w:p>
    <w:p w:rsidR="00051F67" w:rsidRPr="00AD1DFD" w:rsidRDefault="00051F67" w:rsidP="00FB2463">
      <w:pPr>
        <w:spacing w:before="120" w:after="120"/>
        <w:ind w:left="4536" w:hanging="4536"/>
        <w:rPr>
          <w:rFonts w:asciiTheme="minorHAnsi" w:hAnsiTheme="minorHAnsi" w:cstheme="minorHAnsi"/>
          <w:sz w:val="18"/>
          <w:szCs w:val="18"/>
        </w:rPr>
      </w:pPr>
      <w:r w:rsidRPr="00AD1DFD">
        <w:rPr>
          <w:rFonts w:asciiTheme="minorHAnsi" w:hAnsiTheme="minorHAnsi" w:cstheme="minorHAnsi"/>
          <w:sz w:val="18"/>
          <w:szCs w:val="18"/>
        </w:rPr>
        <w:t>Department/Agency</w:t>
      </w:r>
      <w:r w:rsidRPr="00AD1DFD">
        <w:rPr>
          <w:rFonts w:asciiTheme="minorHAnsi" w:hAnsiTheme="minorHAnsi" w:cstheme="minorHAnsi"/>
          <w:sz w:val="18"/>
          <w:szCs w:val="18"/>
        </w:rPr>
        <w:tab/>
        <w:t>____________________________</w:t>
      </w:r>
      <w:r w:rsidR="008C0FD4" w:rsidRPr="00AD1DFD">
        <w:rPr>
          <w:rFonts w:asciiTheme="minorHAnsi" w:hAnsiTheme="minorHAnsi" w:cstheme="minorHAnsi"/>
          <w:sz w:val="18"/>
          <w:szCs w:val="18"/>
        </w:rPr>
        <w:t>______________</w:t>
      </w:r>
      <w:r w:rsidRPr="00AD1DFD">
        <w:rPr>
          <w:rFonts w:asciiTheme="minorHAnsi" w:hAnsiTheme="minorHAnsi" w:cstheme="minorHAnsi"/>
          <w:sz w:val="18"/>
          <w:szCs w:val="18"/>
        </w:rPr>
        <w:t>______</w:t>
      </w:r>
    </w:p>
    <w:p w:rsidR="00051F67" w:rsidRPr="00AD1DFD" w:rsidRDefault="00051F67" w:rsidP="00164718">
      <w:pPr>
        <w:spacing w:after="120"/>
        <w:ind w:left="4536" w:hanging="4536"/>
        <w:rPr>
          <w:rFonts w:asciiTheme="minorHAnsi" w:hAnsiTheme="minorHAnsi" w:cstheme="minorHAnsi"/>
          <w:sz w:val="18"/>
          <w:szCs w:val="18"/>
        </w:rPr>
      </w:pPr>
      <w:r w:rsidRPr="00AD1DFD">
        <w:rPr>
          <w:rFonts w:asciiTheme="minorHAnsi" w:hAnsiTheme="minorHAnsi" w:cstheme="minorHAnsi"/>
          <w:sz w:val="18"/>
          <w:szCs w:val="18"/>
        </w:rPr>
        <w:t>Employee’s (or Applicant’s) Name</w:t>
      </w:r>
      <w:r w:rsidR="00B30CB8" w:rsidRPr="00AD1DFD">
        <w:rPr>
          <w:rFonts w:asciiTheme="minorHAnsi" w:hAnsiTheme="minorHAnsi" w:cstheme="minorHAnsi"/>
          <w:sz w:val="18"/>
          <w:szCs w:val="18"/>
        </w:rPr>
        <w:tab/>
      </w:r>
      <w:r w:rsidR="008C0FD4" w:rsidRPr="00AD1DFD">
        <w:rPr>
          <w:rFonts w:asciiTheme="minorHAnsi" w:hAnsiTheme="minorHAnsi" w:cstheme="minorHAnsi"/>
          <w:sz w:val="18"/>
          <w:szCs w:val="18"/>
        </w:rPr>
        <w:t>________________________________________________</w:t>
      </w:r>
    </w:p>
    <w:p w:rsidR="00051F67" w:rsidRPr="00AD1DFD" w:rsidRDefault="00B30CB8" w:rsidP="00164718">
      <w:pPr>
        <w:spacing w:after="120"/>
        <w:ind w:left="4536" w:hanging="4536"/>
        <w:rPr>
          <w:rFonts w:asciiTheme="minorHAnsi" w:hAnsiTheme="minorHAnsi" w:cstheme="minorHAnsi"/>
          <w:sz w:val="18"/>
          <w:szCs w:val="18"/>
        </w:rPr>
      </w:pPr>
      <w:r w:rsidRPr="00AD1DFD">
        <w:rPr>
          <w:rFonts w:asciiTheme="minorHAnsi" w:hAnsiTheme="minorHAnsi" w:cstheme="minorHAnsi"/>
          <w:sz w:val="18"/>
          <w:szCs w:val="18"/>
        </w:rPr>
        <w:t>Classification</w:t>
      </w:r>
      <w:r w:rsidR="00D97E53" w:rsidRPr="00AD1DFD">
        <w:rPr>
          <w:rFonts w:asciiTheme="minorHAnsi" w:hAnsiTheme="minorHAnsi" w:cstheme="minorHAnsi"/>
          <w:sz w:val="18"/>
          <w:szCs w:val="18"/>
        </w:rPr>
        <w:t xml:space="preserve"> (</w:t>
      </w:r>
      <w:r w:rsidR="00D97E53" w:rsidRPr="00AD1DFD">
        <w:rPr>
          <w:rFonts w:asciiTheme="minorHAnsi" w:hAnsiTheme="minorHAnsi" w:cstheme="minorHAnsi"/>
          <w:i/>
          <w:sz w:val="18"/>
          <w:szCs w:val="18"/>
        </w:rPr>
        <w:t xml:space="preserve">SES Band </w:t>
      </w:r>
      <w:r w:rsidR="00F55B0E" w:rsidRPr="00AD1DFD">
        <w:rPr>
          <w:rFonts w:asciiTheme="minorHAnsi" w:hAnsiTheme="minorHAnsi" w:cstheme="minorHAnsi"/>
          <w:i/>
          <w:sz w:val="18"/>
          <w:szCs w:val="18"/>
        </w:rPr>
        <w:t>3</w:t>
      </w:r>
      <w:r w:rsidR="0016332D" w:rsidRPr="00AD1DFD">
        <w:rPr>
          <w:rFonts w:asciiTheme="minorHAnsi" w:hAnsiTheme="minorHAnsi" w:cstheme="minorHAnsi"/>
          <w:i/>
          <w:sz w:val="18"/>
          <w:szCs w:val="18"/>
        </w:rPr>
        <w:t>; Medical Officer Class 6</w:t>
      </w:r>
      <w:r w:rsidR="00701DB0" w:rsidRPr="00AD1DFD">
        <w:rPr>
          <w:rFonts w:asciiTheme="minorHAnsi" w:hAnsiTheme="minorHAnsi" w:cstheme="minorHAnsi"/>
          <w:i/>
          <w:sz w:val="18"/>
          <w:szCs w:val="18"/>
        </w:rPr>
        <w:t>, etc</w:t>
      </w:r>
      <w:r w:rsidR="00D97E53" w:rsidRPr="00AD1DFD">
        <w:rPr>
          <w:rFonts w:asciiTheme="minorHAnsi" w:hAnsiTheme="minorHAnsi" w:cstheme="minorHAnsi"/>
          <w:sz w:val="18"/>
          <w:szCs w:val="18"/>
        </w:rPr>
        <w:t>)</w:t>
      </w:r>
      <w:r w:rsidRPr="00AD1DFD">
        <w:rPr>
          <w:rFonts w:asciiTheme="minorHAnsi" w:hAnsiTheme="minorHAnsi" w:cstheme="minorHAnsi"/>
          <w:sz w:val="18"/>
          <w:szCs w:val="18"/>
        </w:rPr>
        <w:tab/>
      </w:r>
      <w:r w:rsidR="008C0FD4" w:rsidRPr="00AD1DFD">
        <w:rPr>
          <w:rFonts w:asciiTheme="minorHAnsi" w:hAnsiTheme="minorHAnsi" w:cstheme="minorHAnsi"/>
          <w:sz w:val="18"/>
          <w:szCs w:val="18"/>
        </w:rPr>
        <w:t>________________________________________________</w:t>
      </w:r>
    </w:p>
    <w:p w:rsidR="00B30CB8" w:rsidRPr="00AD1DFD" w:rsidRDefault="00B30CB8" w:rsidP="00164718">
      <w:pPr>
        <w:spacing w:after="120"/>
        <w:ind w:left="4536" w:hanging="4536"/>
        <w:rPr>
          <w:rFonts w:asciiTheme="minorHAnsi" w:hAnsiTheme="minorHAnsi" w:cstheme="minorHAnsi"/>
          <w:sz w:val="18"/>
          <w:szCs w:val="18"/>
        </w:rPr>
      </w:pPr>
      <w:r w:rsidRPr="00AD1DFD">
        <w:rPr>
          <w:rFonts w:asciiTheme="minorHAnsi" w:hAnsiTheme="minorHAnsi" w:cstheme="minorHAnsi"/>
          <w:sz w:val="18"/>
          <w:szCs w:val="18"/>
        </w:rPr>
        <w:t>Role Title</w:t>
      </w:r>
      <w:r w:rsidR="00B77C85" w:rsidRPr="00AD1DFD">
        <w:rPr>
          <w:rFonts w:asciiTheme="minorHAnsi" w:hAnsiTheme="minorHAnsi" w:cstheme="minorHAnsi"/>
          <w:sz w:val="18"/>
          <w:szCs w:val="18"/>
        </w:rPr>
        <w:t xml:space="preserve"> (</w:t>
      </w:r>
      <w:r w:rsidR="00B77C85" w:rsidRPr="00AD1DFD">
        <w:rPr>
          <w:rFonts w:asciiTheme="minorHAnsi" w:hAnsiTheme="minorHAnsi" w:cstheme="minorHAnsi"/>
          <w:i/>
          <w:sz w:val="18"/>
          <w:szCs w:val="18"/>
        </w:rPr>
        <w:t>Deputy Secretary, Chief Information Officer</w:t>
      </w:r>
      <w:r w:rsidR="0016332D" w:rsidRPr="00AD1DFD">
        <w:rPr>
          <w:rFonts w:asciiTheme="minorHAnsi" w:hAnsiTheme="minorHAnsi" w:cstheme="minorHAnsi"/>
          <w:i/>
          <w:sz w:val="18"/>
          <w:szCs w:val="18"/>
        </w:rPr>
        <w:t>,</w:t>
      </w:r>
      <w:r w:rsidR="00B77C85" w:rsidRPr="00AD1DFD">
        <w:rPr>
          <w:rFonts w:asciiTheme="minorHAnsi" w:hAnsiTheme="minorHAnsi" w:cstheme="minorHAnsi"/>
          <w:i/>
          <w:sz w:val="18"/>
          <w:szCs w:val="18"/>
        </w:rPr>
        <w:t xml:space="preserve"> etc</w:t>
      </w:r>
      <w:r w:rsidR="00B77C85" w:rsidRPr="00AD1DFD">
        <w:rPr>
          <w:rFonts w:asciiTheme="minorHAnsi" w:hAnsiTheme="minorHAnsi" w:cstheme="minorHAnsi"/>
          <w:sz w:val="18"/>
          <w:szCs w:val="18"/>
        </w:rPr>
        <w:t>)</w:t>
      </w:r>
      <w:r w:rsidRPr="00AD1DFD">
        <w:rPr>
          <w:rFonts w:asciiTheme="minorHAnsi" w:hAnsiTheme="minorHAnsi" w:cstheme="minorHAnsi"/>
          <w:sz w:val="18"/>
          <w:szCs w:val="18"/>
        </w:rPr>
        <w:tab/>
      </w:r>
      <w:r w:rsidR="008C0FD4" w:rsidRPr="00AD1DFD">
        <w:rPr>
          <w:rFonts w:asciiTheme="minorHAnsi" w:hAnsiTheme="minorHAnsi" w:cstheme="minorHAnsi"/>
          <w:sz w:val="18"/>
          <w:szCs w:val="18"/>
        </w:rPr>
        <w:t>________________________________________________</w:t>
      </w:r>
    </w:p>
    <w:tbl>
      <w:tblPr>
        <w:tblStyle w:val="TableGrid"/>
        <w:tblW w:w="0" w:type="auto"/>
        <w:tblLook w:val="04A0" w:firstRow="1" w:lastRow="0" w:firstColumn="1" w:lastColumn="0" w:noHBand="0" w:noVBand="1"/>
        <w:tblCaption w:val="Form - details"/>
      </w:tblPr>
      <w:tblGrid>
        <w:gridCol w:w="4271"/>
        <w:gridCol w:w="5469"/>
      </w:tblGrid>
      <w:tr w:rsidR="00333F07" w:rsidRPr="00AD1DFD" w:rsidTr="00AD1DFD">
        <w:tc>
          <w:tcPr>
            <w:tcW w:w="4271" w:type="dxa"/>
            <w:shd w:val="pct5" w:color="auto" w:fill="auto"/>
            <w:vAlign w:val="center"/>
          </w:tcPr>
          <w:p w:rsidR="00333F07" w:rsidRPr="00AD1DFD" w:rsidRDefault="00F55B0E"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 xml:space="preserve">Proposed </w:t>
            </w:r>
            <w:r w:rsidR="00333F07" w:rsidRPr="00AD1DFD">
              <w:rPr>
                <w:rFonts w:asciiTheme="minorHAnsi" w:hAnsiTheme="minorHAnsi" w:cstheme="minorHAnsi"/>
                <w:b/>
                <w:sz w:val="18"/>
                <w:szCs w:val="18"/>
              </w:rPr>
              <w:t>Base Salary</w:t>
            </w:r>
          </w:p>
        </w:tc>
        <w:tc>
          <w:tcPr>
            <w:tcW w:w="5469" w:type="dxa"/>
            <w:vAlign w:val="center"/>
          </w:tcPr>
          <w:p w:rsidR="00333F07" w:rsidRPr="00AD1DFD" w:rsidRDefault="00333F07" w:rsidP="00AD1DFD">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 xml:space="preserve">Allowances </w:t>
            </w:r>
            <w:r w:rsidRPr="00AD1DFD">
              <w:rPr>
                <w:rFonts w:asciiTheme="minorHAnsi" w:hAnsiTheme="minorHAnsi" w:cstheme="minorHAnsi"/>
                <w:i/>
                <w:sz w:val="18"/>
                <w:szCs w:val="18"/>
              </w:rPr>
              <w:t>(include all payable)</w:t>
            </w:r>
          </w:p>
        </w:tc>
        <w:tc>
          <w:tcPr>
            <w:tcW w:w="5469" w:type="dxa"/>
            <w:vAlign w:val="center"/>
          </w:tcPr>
          <w:p w:rsidR="00333F07" w:rsidRPr="00AD1DFD" w:rsidRDefault="00333F07" w:rsidP="00333F07">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r w:rsidRPr="00AD1DFD">
              <w:rPr>
                <w:rFonts w:asciiTheme="minorHAnsi" w:hAnsiTheme="minorHAnsi" w:cstheme="minorHAnsi"/>
                <w:sz w:val="18"/>
                <w:szCs w:val="18"/>
              </w:rPr>
              <w:b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Lump Sum Payments</w:t>
            </w:r>
            <w:r w:rsidR="002317E9" w:rsidRPr="00AD1DFD">
              <w:rPr>
                <w:rFonts w:asciiTheme="minorHAnsi" w:hAnsiTheme="minorHAnsi" w:cstheme="minorHAnsi"/>
                <w:i/>
                <w:sz w:val="18"/>
                <w:szCs w:val="18"/>
              </w:rPr>
              <w:t xml:space="preserve"> </w:t>
            </w:r>
            <w:r w:rsidRPr="00AD1DFD">
              <w:rPr>
                <w:rFonts w:asciiTheme="minorHAnsi" w:hAnsiTheme="minorHAnsi" w:cstheme="minorHAnsi"/>
                <w:i/>
                <w:sz w:val="18"/>
                <w:szCs w:val="18"/>
              </w:rPr>
              <w:t>(include all payable)</w:t>
            </w:r>
          </w:p>
        </w:tc>
        <w:tc>
          <w:tcPr>
            <w:tcW w:w="5469" w:type="dxa"/>
            <w:vAlign w:val="center"/>
          </w:tcPr>
          <w:p w:rsidR="00333F07" w:rsidRPr="00AD1DFD" w:rsidRDefault="00333F07" w:rsidP="00333F07">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r w:rsidRPr="00AD1DFD">
              <w:rPr>
                <w:rFonts w:asciiTheme="minorHAnsi" w:hAnsiTheme="minorHAnsi" w:cstheme="minorHAnsi"/>
                <w:sz w:val="18"/>
                <w:szCs w:val="18"/>
              </w:rPr>
              <w:b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 xml:space="preserve">Employer’s Superannuation Contribution </w:t>
            </w:r>
            <w:r w:rsidRPr="00AD1DFD">
              <w:rPr>
                <w:rFonts w:asciiTheme="minorHAnsi" w:hAnsiTheme="minorHAnsi" w:cstheme="minorHAnsi"/>
                <w:i/>
                <w:sz w:val="18"/>
                <w:szCs w:val="18"/>
              </w:rPr>
              <w:t>(insert maximum potential value)</w:t>
            </w:r>
          </w:p>
        </w:tc>
        <w:tc>
          <w:tcPr>
            <w:tcW w:w="5469" w:type="dxa"/>
            <w:vAlign w:val="center"/>
          </w:tcPr>
          <w:p w:rsidR="00333F07" w:rsidRPr="00AD1DFD" w:rsidRDefault="00333F07" w:rsidP="00760725">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 xml:space="preserve">Performance Pay and Bonuses </w:t>
            </w:r>
            <w:r w:rsidRPr="00AD1DFD">
              <w:rPr>
                <w:rFonts w:asciiTheme="minorHAnsi" w:hAnsiTheme="minorHAnsi" w:cstheme="minorHAnsi"/>
                <w:i/>
                <w:sz w:val="18"/>
                <w:szCs w:val="18"/>
              </w:rPr>
              <w:t>(insert maximum potential value)</w:t>
            </w:r>
          </w:p>
        </w:tc>
        <w:tc>
          <w:tcPr>
            <w:tcW w:w="5469" w:type="dxa"/>
            <w:vAlign w:val="center"/>
          </w:tcPr>
          <w:p w:rsidR="00333F07" w:rsidRPr="00AD1DFD" w:rsidRDefault="00333F07" w:rsidP="00760725">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Vehicle</w:t>
            </w:r>
          </w:p>
        </w:tc>
        <w:tc>
          <w:tcPr>
            <w:tcW w:w="5469" w:type="dxa"/>
            <w:vAlign w:val="center"/>
          </w:tcPr>
          <w:p w:rsidR="00333F07" w:rsidRPr="00AD1DFD" w:rsidRDefault="00333F07" w:rsidP="00366BE8">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Parking</w:t>
            </w:r>
          </w:p>
        </w:tc>
        <w:tc>
          <w:tcPr>
            <w:tcW w:w="5469" w:type="dxa"/>
            <w:vAlign w:val="center"/>
          </w:tcPr>
          <w:p w:rsidR="00333F07" w:rsidRPr="00AD1DFD" w:rsidRDefault="00333F07" w:rsidP="00366BE8">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p>
        </w:tc>
      </w:tr>
      <w:tr w:rsidR="00333F07" w:rsidRPr="00AD1DFD" w:rsidTr="00760725">
        <w:tc>
          <w:tcPr>
            <w:tcW w:w="4271" w:type="dxa"/>
            <w:tcBorders>
              <w:bottom w:val="single" w:sz="4" w:space="0" w:color="auto"/>
            </w:tcBorders>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 xml:space="preserve">Other Benefits </w:t>
            </w:r>
            <w:r w:rsidRPr="00AD1DFD">
              <w:rPr>
                <w:rFonts w:asciiTheme="minorHAnsi" w:hAnsiTheme="minorHAnsi" w:cstheme="minorHAnsi"/>
                <w:i/>
                <w:sz w:val="18"/>
                <w:szCs w:val="18"/>
              </w:rPr>
              <w:t>(include applicable FBT tax)</w:t>
            </w:r>
          </w:p>
        </w:tc>
        <w:tc>
          <w:tcPr>
            <w:tcW w:w="5469" w:type="dxa"/>
            <w:tcBorders>
              <w:bottom w:val="single" w:sz="4" w:space="0" w:color="auto"/>
            </w:tcBorders>
            <w:vAlign w:val="center"/>
          </w:tcPr>
          <w:p w:rsidR="00333F07" w:rsidRPr="00AD1DFD" w:rsidRDefault="00333F07" w:rsidP="00760725">
            <w:pPr>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jc w:val="right"/>
              <w:rPr>
                <w:rFonts w:asciiTheme="minorHAnsi" w:hAnsiTheme="minorHAnsi" w:cstheme="minorHAnsi"/>
                <w:b/>
                <w:sz w:val="20"/>
                <w:highlight w:val="lightGray"/>
              </w:rPr>
            </w:pPr>
            <w:r w:rsidRPr="00AD1DFD">
              <w:rPr>
                <w:rFonts w:asciiTheme="minorHAnsi" w:hAnsiTheme="minorHAnsi" w:cstheme="minorHAnsi"/>
                <w:b/>
                <w:sz w:val="20"/>
              </w:rPr>
              <w:t>Proposed Total Remuneration</w:t>
            </w:r>
          </w:p>
        </w:tc>
        <w:tc>
          <w:tcPr>
            <w:tcW w:w="5469" w:type="dxa"/>
            <w:shd w:val="clear" w:color="auto" w:fill="F2F2F2" w:themeFill="background1" w:themeFillShade="F2"/>
            <w:vAlign w:val="center"/>
          </w:tcPr>
          <w:p w:rsidR="00333F07" w:rsidRPr="00AD1DFD" w:rsidRDefault="00333F07" w:rsidP="00366BE8">
            <w:pPr>
              <w:tabs>
                <w:tab w:val="left" w:pos="4395"/>
              </w:tabs>
              <w:spacing w:before="60" w:afterLines="60" w:after="144"/>
              <w:rPr>
                <w:rFonts w:asciiTheme="minorHAnsi" w:hAnsiTheme="minorHAnsi" w:cstheme="minorHAnsi"/>
                <w:b/>
                <w:sz w:val="18"/>
                <w:szCs w:val="18"/>
              </w:rPr>
            </w:pPr>
            <w:r w:rsidRPr="00AD1DFD">
              <w:rPr>
                <w:rFonts w:asciiTheme="minorHAnsi" w:hAnsiTheme="minorHAnsi" w:cstheme="minorHAnsi"/>
                <w:b/>
                <w:sz w:val="18"/>
                <w:szCs w:val="18"/>
              </w:rPr>
              <w:t>$_________</w:t>
            </w:r>
          </w:p>
        </w:tc>
      </w:tr>
    </w:tbl>
    <w:p w:rsidR="00051F67" w:rsidRPr="00AD1DFD" w:rsidRDefault="00051F67" w:rsidP="00051F67">
      <w:pPr>
        <w:tabs>
          <w:tab w:val="left" w:pos="4395"/>
        </w:tabs>
        <w:rPr>
          <w:rFonts w:asciiTheme="minorHAnsi" w:hAnsiTheme="minorHAnsi" w:cstheme="minorHAnsi"/>
          <w:sz w:val="16"/>
          <w:szCs w:val="16"/>
        </w:rPr>
      </w:pPr>
      <w:r w:rsidRPr="00AD1DFD">
        <w:rPr>
          <w:rFonts w:asciiTheme="minorHAnsi" w:hAnsiTheme="minorHAnsi" w:cstheme="minorHAnsi"/>
          <w:sz w:val="16"/>
          <w:szCs w:val="16"/>
        </w:rPr>
        <w:t>Notes:</w:t>
      </w:r>
    </w:p>
    <w:p w:rsidR="00051F67" w:rsidRPr="00AD1DFD" w:rsidRDefault="00051F67" w:rsidP="00051F67">
      <w:pPr>
        <w:pStyle w:val="ListParagraph"/>
        <w:numPr>
          <w:ilvl w:val="0"/>
          <w:numId w:val="4"/>
        </w:numPr>
        <w:tabs>
          <w:tab w:val="left" w:pos="4395"/>
        </w:tabs>
        <w:rPr>
          <w:rFonts w:asciiTheme="minorHAnsi" w:hAnsiTheme="minorHAnsi" w:cstheme="minorHAnsi"/>
          <w:sz w:val="16"/>
          <w:szCs w:val="16"/>
        </w:rPr>
      </w:pPr>
      <w:r w:rsidRPr="00AD1DFD">
        <w:rPr>
          <w:rFonts w:asciiTheme="minorHAnsi" w:hAnsiTheme="minorHAnsi" w:cstheme="minorHAnsi"/>
          <w:sz w:val="16"/>
          <w:szCs w:val="16"/>
        </w:rPr>
        <w:t>For items with varying values, e.g. superannuation contribution and bonuses,</w:t>
      </w:r>
      <w:r w:rsidR="009E6A59" w:rsidRPr="00AD1DFD">
        <w:rPr>
          <w:rFonts w:asciiTheme="minorHAnsi" w:hAnsiTheme="minorHAnsi" w:cstheme="minorHAnsi"/>
          <w:sz w:val="16"/>
          <w:szCs w:val="16"/>
        </w:rPr>
        <w:t xml:space="preserve"> </w:t>
      </w:r>
      <w:r w:rsidRPr="00AD1DFD">
        <w:rPr>
          <w:rFonts w:asciiTheme="minorHAnsi" w:hAnsiTheme="minorHAnsi" w:cstheme="minorHAnsi"/>
          <w:sz w:val="16"/>
          <w:szCs w:val="16"/>
        </w:rPr>
        <w:t>include the maximum potential value.</w:t>
      </w:r>
    </w:p>
    <w:p w:rsidR="00051F67" w:rsidRPr="00AD1DFD" w:rsidRDefault="00051F67" w:rsidP="00051F67">
      <w:pPr>
        <w:pStyle w:val="ListParagraph"/>
        <w:numPr>
          <w:ilvl w:val="0"/>
          <w:numId w:val="4"/>
        </w:numPr>
        <w:rPr>
          <w:rFonts w:asciiTheme="minorHAnsi" w:hAnsiTheme="minorHAnsi" w:cstheme="minorHAnsi"/>
          <w:sz w:val="16"/>
          <w:szCs w:val="16"/>
        </w:rPr>
      </w:pPr>
      <w:r w:rsidRPr="00AD1DFD">
        <w:rPr>
          <w:rFonts w:asciiTheme="minorHAnsi" w:hAnsiTheme="minorHAnsi" w:cstheme="minorHAnsi"/>
          <w:sz w:val="16"/>
          <w:szCs w:val="16"/>
        </w:rPr>
        <w:t>Where market forces are a factor in justifying the level of remuneration, provide</w:t>
      </w:r>
      <w:r w:rsidR="0016332D" w:rsidRPr="00AD1DFD">
        <w:rPr>
          <w:rFonts w:asciiTheme="minorHAnsi" w:hAnsiTheme="minorHAnsi" w:cstheme="minorHAnsi"/>
          <w:sz w:val="16"/>
          <w:szCs w:val="16"/>
        </w:rPr>
        <w:t xml:space="preserve"> details of</w:t>
      </w:r>
      <w:r w:rsidRPr="00AD1DFD">
        <w:rPr>
          <w:rFonts w:asciiTheme="minorHAnsi" w:hAnsiTheme="minorHAnsi" w:cstheme="minorHAnsi"/>
          <w:sz w:val="16"/>
          <w:szCs w:val="16"/>
        </w:rPr>
        <w:t xml:space="preserve"> the market data relied on.</w:t>
      </w:r>
    </w:p>
    <w:p w:rsidR="00051F67" w:rsidRPr="00AD1DFD" w:rsidRDefault="00051F67" w:rsidP="00760725">
      <w:pPr>
        <w:pStyle w:val="ListParagraph"/>
        <w:numPr>
          <w:ilvl w:val="0"/>
          <w:numId w:val="4"/>
        </w:numPr>
        <w:tabs>
          <w:tab w:val="left" w:pos="4395"/>
        </w:tabs>
        <w:rPr>
          <w:rFonts w:asciiTheme="minorHAnsi" w:hAnsiTheme="minorHAnsi" w:cstheme="minorHAnsi"/>
          <w:sz w:val="16"/>
          <w:szCs w:val="16"/>
        </w:rPr>
      </w:pPr>
      <w:r w:rsidRPr="00AD1DFD">
        <w:rPr>
          <w:rFonts w:asciiTheme="minorHAnsi" w:hAnsiTheme="minorHAnsi" w:cstheme="minorHAnsi"/>
          <w:sz w:val="16"/>
          <w:szCs w:val="16"/>
        </w:rPr>
        <w:t>Please provide (on a separate sheet) details of all other benefits (including FBT) included in the remuneration package but not included in TR above, such as the annualised value of accommodation and relocation assistance.</w:t>
      </w:r>
    </w:p>
    <w:p w:rsidR="00760725" w:rsidRPr="00AD1DFD" w:rsidRDefault="00760725" w:rsidP="00B83858">
      <w:pPr>
        <w:spacing w:before="60"/>
        <w:rPr>
          <w:rFonts w:asciiTheme="minorHAnsi" w:hAnsiTheme="minorHAnsi" w:cstheme="minorHAnsi"/>
          <w:b/>
          <w:sz w:val="16"/>
          <w:szCs w:val="16"/>
          <w:u w:val="single"/>
        </w:rPr>
      </w:pPr>
      <w:r w:rsidRPr="00AD1DFD">
        <w:rPr>
          <w:rFonts w:asciiTheme="minorHAnsi" w:hAnsiTheme="minorHAnsi" w:cstheme="minorHAnsi"/>
          <w:b/>
          <w:szCs w:val="22"/>
          <w:u w:val="single"/>
        </w:rPr>
        <w:t>Agency Head</w:t>
      </w:r>
    </w:p>
    <w:p w:rsidR="00760725" w:rsidRPr="00AD1DFD" w:rsidRDefault="00760725" w:rsidP="00760725">
      <w:pPr>
        <w:pStyle w:val="Default"/>
        <w:rPr>
          <w:rFonts w:asciiTheme="minorHAnsi" w:hAnsiTheme="minorHAnsi" w:cstheme="minorHAnsi"/>
          <w:color w:val="auto"/>
          <w:sz w:val="20"/>
          <w:szCs w:val="20"/>
          <w:lang w:eastAsia="en-US"/>
        </w:rPr>
      </w:pPr>
      <w:r w:rsidRPr="00AD1DFD">
        <w:rPr>
          <w:rFonts w:asciiTheme="minorHAnsi" w:hAnsiTheme="minorHAnsi" w:cstheme="minorHAnsi"/>
          <w:color w:val="auto"/>
          <w:sz w:val="20"/>
          <w:szCs w:val="20"/>
          <w:lang w:eastAsia="en-US"/>
        </w:rPr>
        <w:t xml:space="preserve">I certify that the above information is true and complete and in accordance with the APS </w:t>
      </w:r>
      <w:r w:rsidRPr="00AD1DFD">
        <w:rPr>
          <w:rFonts w:asciiTheme="minorHAnsi" w:hAnsiTheme="minorHAnsi" w:cstheme="minorHAnsi"/>
          <w:sz w:val="20"/>
          <w:szCs w:val="20"/>
        </w:rPr>
        <w:t xml:space="preserve">Executive Remuneration Management Policy and </w:t>
      </w:r>
      <w:r w:rsidRPr="00AD1DFD">
        <w:rPr>
          <w:rFonts w:asciiTheme="minorHAnsi" w:hAnsiTheme="minorHAnsi" w:cstheme="minorHAnsi"/>
          <w:color w:val="auto"/>
          <w:sz w:val="20"/>
          <w:szCs w:val="20"/>
          <w:lang w:eastAsia="en-US"/>
        </w:rPr>
        <w:t>instructions issued by t</w:t>
      </w:r>
      <w:r w:rsidR="00921453" w:rsidRPr="00AD1DFD">
        <w:rPr>
          <w:rFonts w:asciiTheme="minorHAnsi" w:hAnsiTheme="minorHAnsi" w:cstheme="minorHAnsi"/>
          <w:color w:val="auto"/>
          <w:sz w:val="20"/>
          <w:szCs w:val="20"/>
          <w:lang w:eastAsia="en-US"/>
        </w:rPr>
        <w:t xml:space="preserve">he </w:t>
      </w:r>
      <w:r w:rsidR="001002E4" w:rsidRPr="00AD1DFD">
        <w:rPr>
          <w:rFonts w:asciiTheme="minorHAnsi" w:hAnsiTheme="minorHAnsi" w:cstheme="minorHAnsi"/>
          <w:color w:val="auto"/>
          <w:sz w:val="20"/>
          <w:szCs w:val="20"/>
          <w:lang w:eastAsia="en-US"/>
        </w:rPr>
        <w:t xml:space="preserve">Australian </w:t>
      </w:r>
      <w:r w:rsidR="00921453" w:rsidRPr="00AD1DFD">
        <w:rPr>
          <w:rFonts w:asciiTheme="minorHAnsi" w:hAnsiTheme="minorHAnsi" w:cstheme="minorHAnsi"/>
          <w:color w:val="auto"/>
          <w:sz w:val="20"/>
          <w:szCs w:val="20"/>
          <w:lang w:eastAsia="en-US"/>
        </w:rPr>
        <w:t>Public Service Commissioner.</w:t>
      </w:r>
    </w:p>
    <w:p w:rsidR="00760725" w:rsidRPr="00AD1DFD" w:rsidRDefault="00760725" w:rsidP="00760725">
      <w:pPr>
        <w:pStyle w:val="Default"/>
        <w:rPr>
          <w:rFonts w:asciiTheme="minorHAnsi" w:hAnsiTheme="minorHAnsi" w:cstheme="minorHAnsi"/>
          <w:color w:val="auto"/>
          <w:sz w:val="16"/>
          <w:szCs w:val="16"/>
          <w:lang w:eastAsia="en-US"/>
        </w:rPr>
      </w:pPr>
    </w:p>
    <w:p w:rsidR="00760725" w:rsidRPr="00AD1DFD" w:rsidRDefault="00760725" w:rsidP="00760725">
      <w:pPr>
        <w:pStyle w:val="ListParagraph"/>
        <w:ind w:left="1701" w:hanging="1275"/>
        <w:rPr>
          <w:rFonts w:asciiTheme="minorHAnsi" w:hAnsiTheme="minorHAnsi" w:cstheme="minorHAnsi"/>
          <w:b/>
          <w:sz w:val="20"/>
        </w:rPr>
      </w:pPr>
      <w:r w:rsidRPr="00AD1DFD">
        <w:rPr>
          <w:rFonts w:asciiTheme="minorHAnsi" w:hAnsiTheme="minorHAnsi" w:cstheme="minorHAnsi"/>
          <w:sz w:val="20"/>
        </w:rPr>
        <w:t>Signature:</w:t>
      </w:r>
      <w:r w:rsidRPr="00AD1DFD">
        <w:rPr>
          <w:rFonts w:asciiTheme="minorHAnsi" w:hAnsiTheme="minorHAnsi" w:cstheme="minorHAnsi"/>
          <w:b/>
          <w:sz w:val="20"/>
        </w:rPr>
        <w:tab/>
        <w:t xml:space="preserve">_______________________________________ </w:t>
      </w:r>
      <w:r w:rsidRPr="00AD1DFD">
        <w:rPr>
          <w:rFonts w:asciiTheme="minorHAnsi" w:hAnsiTheme="minorHAnsi" w:cstheme="minorHAnsi"/>
          <w:sz w:val="20"/>
        </w:rPr>
        <w:t>Date:</w:t>
      </w:r>
      <w:r w:rsidRPr="00AD1DFD">
        <w:rPr>
          <w:rFonts w:asciiTheme="minorHAnsi" w:hAnsiTheme="minorHAnsi" w:cstheme="minorHAnsi"/>
          <w:b/>
          <w:sz w:val="20"/>
        </w:rPr>
        <w:t xml:space="preserve"> </w:t>
      </w:r>
      <w:r w:rsidRPr="00AD1DFD">
        <w:rPr>
          <w:rFonts w:asciiTheme="minorHAnsi" w:hAnsiTheme="minorHAnsi" w:cstheme="minorHAnsi"/>
          <w:sz w:val="20"/>
        </w:rPr>
        <w:t>_____/_____/_____</w:t>
      </w:r>
    </w:p>
    <w:p w:rsidR="00760725" w:rsidRPr="00AD1DFD" w:rsidRDefault="00760725" w:rsidP="00760725">
      <w:pPr>
        <w:pStyle w:val="ListParagraph"/>
        <w:ind w:left="1701" w:hanging="1275"/>
        <w:rPr>
          <w:rFonts w:asciiTheme="minorHAnsi" w:hAnsiTheme="minorHAnsi" w:cstheme="minorHAnsi"/>
          <w:b/>
          <w:sz w:val="20"/>
        </w:rPr>
      </w:pPr>
    </w:p>
    <w:p w:rsidR="00760725" w:rsidRPr="00AD1DFD" w:rsidRDefault="00760725" w:rsidP="00760725">
      <w:pPr>
        <w:pStyle w:val="ListParagraph"/>
        <w:ind w:left="1701" w:hanging="1275"/>
        <w:rPr>
          <w:rFonts w:asciiTheme="minorHAnsi" w:hAnsiTheme="minorHAnsi" w:cstheme="minorHAnsi"/>
          <w:b/>
          <w:sz w:val="20"/>
        </w:rPr>
      </w:pPr>
      <w:r w:rsidRPr="00AD1DFD">
        <w:rPr>
          <w:rFonts w:asciiTheme="minorHAnsi" w:hAnsiTheme="minorHAnsi" w:cstheme="minorHAnsi"/>
          <w:sz w:val="20"/>
        </w:rPr>
        <w:lastRenderedPageBreak/>
        <w:t xml:space="preserve">Name: </w:t>
      </w:r>
      <w:r w:rsidRPr="00AD1DFD">
        <w:rPr>
          <w:rFonts w:asciiTheme="minorHAnsi" w:hAnsiTheme="minorHAnsi" w:cstheme="minorHAnsi"/>
          <w:sz w:val="20"/>
        </w:rPr>
        <w:tab/>
      </w:r>
      <w:r w:rsidRPr="00AD1DFD">
        <w:rPr>
          <w:rFonts w:asciiTheme="minorHAnsi" w:hAnsiTheme="minorHAnsi" w:cstheme="minorHAnsi"/>
          <w:b/>
          <w:sz w:val="20"/>
        </w:rPr>
        <w:t>_______________________________________</w:t>
      </w:r>
    </w:p>
    <w:sectPr w:rsidR="00760725" w:rsidRPr="00AD1DFD" w:rsidSect="00445565">
      <w:type w:val="continuous"/>
      <w:pgSz w:w="11906" w:h="16838" w:code="9"/>
      <w:pgMar w:top="709" w:right="851" w:bottom="992" w:left="1134" w:header="567" w:footer="134"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772" w:rsidRDefault="00DD3772" w:rsidP="00710F6A">
      <w:r>
        <w:separator/>
      </w:r>
    </w:p>
  </w:endnote>
  <w:endnote w:type="continuationSeparator" w:id="0">
    <w:p w:rsidR="00DD3772" w:rsidRDefault="00DD3772" w:rsidP="0071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777945963"/>
      <w:docPartObj>
        <w:docPartGallery w:val="Page Numbers (Bottom of Page)"/>
        <w:docPartUnique/>
      </w:docPartObj>
    </w:sdtPr>
    <w:sdtEndPr>
      <w:rPr>
        <w:rFonts w:ascii="Arial" w:hAnsi="Arial"/>
        <w:color w:val="7F7F7F" w:themeColor="background1" w:themeShade="7F"/>
        <w:spacing w:val="60"/>
        <w:sz w:val="22"/>
      </w:rPr>
    </w:sdtEndPr>
    <w:sdtContent>
      <w:p w:rsidR="00DD3772" w:rsidRDefault="00DD3772" w:rsidP="008D0A71">
        <w:pPr>
          <w:pStyle w:val="Footer"/>
          <w:rPr>
            <w:rFonts w:ascii="Times New Roman" w:hAnsi="Times New Roman"/>
            <w:sz w:val="20"/>
          </w:rPr>
        </w:pPr>
      </w:p>
      <w:p w:rsidR="00DD3772" w:rsidRDefault="00DD3772" w:rsidP="008D0A71">
        <w:pPr>
          <w:pStyle w:val="Footer"/>
          <w:rPr>
            <w:rFonts w:ascii="Times New Roman" w:hAnsi="Times New Roman"/>
            <w:sz w:val="20"/>
          </w:rPr>
        </w:pPr>
      </w:p>
      <w:p w:rsidR="00DD3772" w:rsidRPr="00AD1DFD" w:rsidRDefault="00DD3772" w:rsidP="008D0A71">
        <w:pPr>
          <w:pStyle w:val="Footer"/>
          <w:rPr>
            <w:rFonts w:asciiTheme="minorHAnsi" w:hAnsiTheme="minorHAnsi" w:cstheme="minorHAnsi"/>
            <w:sz w:val="20"/>
          </w:rPr>
        </w:pPr>
        <w:r w:rsidRPr="00AD1DFD">
          <w:rPr>
            <w:rFonts w:asciiTheme="minorHAnsi" w:hAnsiTheme="minorHAnsi" w:cstheme="minorHAnsi"/>
            <w:sz w:val="20"/>
          </w:rPr>
          <w:fldChar w:fldCharType="begin"/>
        </w:r>
        <w:r w:rsidRPr="00AD1DFD">
          <w:rPr>
            <w:rFonts w:asciiTheme="minorHAnsi" w:hAnsiTheme="minorHAnsi" w:cstheme="minorHAnsi"/>
            <w:sz w:val="20"/>
          </w:rPr>
          <w:instrText xml:space="preserve"> PAGE   \* MERGEFORMAT </w:instrText>
        </w:r>
        <w:r w:rsidRPr="00AD1DFD">
          <w:rPr>
            <w:rFonts w:asciiTheme="minorHAnsi" w:hAnsiTheme="minorHAnsi" w:cstheme="minorHAnsi"/>
            <w:sz w:val="20"/>
          </w:rPr>
          <w:fldChar w:fldCharType="separate"/>
        </w:r>
        <w:r w:rsidR="000D2337" w:rsidRPr="000D2337">
          <w:rPr>
            <w:rFonts w:asciiTheme="minorHAnsi" w:hAnsiTheme="minorHAnsi" w:cstheme="minorHAnsi"/>
            <w:noProof/>
          </w:rPr>
          <w:t>3</w:t>
        </w:r>
        <w:r w:rsidRPr="00AD1DFD">
          <w:rPr>
            <w:rFonts w:asciiTheme="minorHAnsi" w:hAnsiTheme="minorHAnsi" w:cstheme="minorHAnsi"/>
            <w:sz w:val="20"/>
          </w:rPr>
          <w:fldChar w:fldCharType="end"/>
        </w:r>
        <w:r w:rsidRPr="00AD1DFD">
          <w:rPr>
            <w:rFonts w:asciiTheme="minorHAnsi" w:hAnsiTheme="minorHAnsi" w:cstheme="minorHAnsi"/>
            <w:sz w:val="20"/>
          </w:rPr>
          <w:t xml:space="preserve"> | APS Executive Remuneration Management Policy</w:t>
        </w:r>
      </w:p>
      <w:p w:rsidR="00DD3772" w:rsidRDefault="000D2337" w:rsidP="008D0A71">
        <w:pPr>
          <w:pStyle w:val="Footer"/>
          <w:pBdr>
            <w:top w:val="single" w:sz="4" w:space="1" w:color="D9D9D9" w:themeColor="background1" w:themeShade="D9"/>
          </w:pBd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411737351"/>
      <w:docPartObj>
        <w:docPartGallery w:val="Page Numbers (Bottom of Page)"/>
        <w:docPartUnique/>
      </w:docPartObj>
    </w:sdtPr>
    <w:sdtEndPr>
      <w:rPr>
        <w:rFonts w:ascii="Arial" w:hAnsi="Arial"/>
        <w:color w:val="7F7F7F" w:themeColor="background1" w:themeShade="7F"/>
        <w:spacing w:val="60"/>
        <w:sz w:val="22"/>
      </w:rPr>
    </w:sdtEndPr>
    <w:sdtContent>
      <w:p w:rsidR="00DD3772" w:rsidRPr="003535DD" w:rsidRDefault="00DD3772" w:rsidP="00E90704">
        <w:pPr>
          <w:pStyle w:val="Footer"/>
          <w:rPr>
            <w:rFonts w:ascii="Times New Roman" w:hAnsi="Times New Roman"/>
            <w:sz w:val="20"/>
          </w:rPr>
        </w:pPr>
        <w:r w:rsidRPr="008D0A71">
          <w:rPr>
            <w:rFonts w:ascii="Times New Roman" w:hAnsi="Times New Roman"/>
            <w:sz w:val="20"/>
          </w:rPr>
          <w:fldChar w:fldCharType="begin"/>
        </w:r>
        <w:r w:rsidRPr="008D0A71">
          <w:rPr>
            <w:rFonts w:ascii="Times New Roman" w:hAnsi="Times New Roman"/>
            <w:sz w:val="20"/>
          </w:rPr>
          <w:instrText xml:space="preserve"> PAGE   \* MERGEFORMAT </w:instrText>
        </w:r>
        <w:r w:rsidRPr="008D0A71">
          <w:rPr>
            <w:rFonts w:ascii="Times New Roman" w:hAnsi="Times New Roman"/>
            <w:sz w:val="20"/>
          </w:rPr>
          <w:fldChar w:fldCharType="separate"/>
        </w:r>
        <w:r w:rsidR="000D2337" w:rsidRPr="000D2337">
          <w:rPr>
            <w:rFonts w:ascii="Times New Roman" w:hAnsi="Times New Roman"/>
            <w:noProof/>
          </w:rPr>
          <w:t>1</w:t>
        </w:r>
        <w:r w:rsidRPr="008D0A71">
          <w:rPr>
            <w:rFonts w:ascii="Times New Roman" w:hAnsi="Times New Roman"/>
            <w:sz w:val="20"/>
          </w:rPr>
          <w:fldChar w:fldCharType="end"/>
        </w:r>
        <w:r w:rsidRPr="008D0A71">
          <w:rPr>
            <w:rFonts w:ascii="Times New Roman" w:hAnsi="Times New Roman"/>
            <w:sz w:val="20"/>
          </w:rPr>
          <w:t xml:space="preserve"> | </w:t>
        </w:r>
        <w:r w:rsidRPr="003535DD">
          <w:rPr>
            <w:rFonts w:ascii="Times New Roman" w:hAnsi="Times New Roman"/>
            <w:sz w:val="20"/>
          </w:rPr>
          <w:t xml:space="preserve">APS Executive Remuneration Management </w:t>
        </w:r>
        <w:r w:rsidR="00A873C7">
          <w:rPr>
            <w:rFonts w:ascii="Times New Roman" w:hAnsi="Times New Roman"/>
            <w:sz w:val="20"/>
          </w:rPr>
          <w:t xml:space="preserve">Policy </w:t>
        </w:r>
      </w:p>
      <w:p w:rsidR="00DD3772" w:rsidRDefault="000D2337" w:rsidP="00E90704">
        <w:pPr>
          <w:pStyle w:val="Footer"/>
          <w:pBdr>
            <w:top w:val="single" w:sz="4" w:space="1" w:color="D9D9D9" w:themeColor="background1" w:themeShade="D9"/>
          </w:pBdr>
          <w:jc w:val="right"/>
          <w:rPr>
            <w:color w:val="7F7F7F" w:themeColor="background1" w:themeShade="7F"/>
            <w:spacing w:val="6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sz w:val="16"/>
        <w:szCs w:val="16"/>
      </w:rPr>
      <w:id w:val="419717804"/>
      <w:docPartObj>
        <w:docPartGallery w:val="Page Numbers (Bottom of Page)"/>
        <w:docPartUnique/>
      </w:docPartObj>
    </w:sdtPr>
    <w:sdtEndPr>
      <w:rPr>
        <w:rFonts w:ascii="Arial" w:hAnsi="Arial"/>
        <w:b w:val="0"/>
        <w:color w:val="7F7F7F" w:themeColor="background1" w:themeShade="7F"/>
        <w:spacing w:val="60"/>
        <w:sz w:val="22"/>
        <w:szCs w:val="20"/>
      </w:rPr>
    </w:sdtEndPr>
    <w:sdtContent>
      <w:p w:rsidR="00DD3772" w:rsidRPr="00AD1DFD" w:rsidRDefault="00DD3772" w:rsidP="00D9262E">
        <w:pPr>
          <w:rPr>
            <w:rFonts w:asciiTheme="minorHAnsi" w:hAnsiTheme="minorHAnsi" w:cstheme="minorHAnsi"/>
            <w:b/>
            <w:sz w:val="16"/>
            <w:szCs w:val="16"/>
          </w:rPr>
        </w:pPr>
        <w:r w:rsidRPr="00AD1DFD">
          <w:rPr>
            <w:rFonts w:asciiTheme="minorHAnsi" w:hAnsiTheme="minorHAnsi" w:cstheme="minorHAnsi"/>
            <w:b/>
            <w:sz w:val="16"/>
            <w:szCs w:val="16"/>
          </w:rPr>
          <w:t>Submissions, and where relevant, supporting documentation, are to be signed by the Agency Head</w:t>
        </w:r>
        <w:r w:rsidR="00FB2463" w:rsidRPr="00AD1DFD">
          <w:rPr>
            <w:rFonts w:asciiTheme="minorHAnsi" w:hAnsiTheme="minorHAnsi" w:cstheme="minorHAnsi"/>
            <w:b/>
            <w:sz w:val="16"/>
            <w:szCs w:val="16"/>
          </w:rPr>
          <w:t xml:space="preserve"> </w:t>
        </w:r>
        <w:r w:rsidRPr="00AD1DFD">
          <w:rPr>
            <w:rFonts w:asciiTheme="minorHAnsi" w:hAnsiTheme="minorHAnsi" w:cstheme="minorHAnsi"/>
            <w:b/>
            <w:sz w:val="16"/>
            <w:szCs w:val="16"/>
          </w:rPr>
          <w:t>and forwarded to the Commissioner</w:t>
        </w:r>
        <w:r w:rsidR="00FB2463" w:rsidRPr="00AD1DFD">
          <w:rPr>
            <w:rFonts w:asciiTheme="minorHAnsi" w:hAnsiTheme="minorHAnsi" w:cstheme="minorHAnsi"/>
            <w:b/>
            <w:sz w:val="16"/>
            <w:szCs w:val="16"/>
          </w:rPr>
          <w:br/>
        </w:r>
        <w:proofErr w:type="gramStart"/>
        <w:r w:rsidRPr="00AD1DFD">
          <w:rPr>
            <w:rFonts w:asciiTheme="minorHAnsi" w:hAnsiTheme="minorHAnsi" w:cstheme="minorHAnsi"/>
            <w:b/>
            <w:sz w:val="16"/>
            <w:szCs w:val="16"/>
          </w:rPr>
          <w:t xml:space="preserve">via </w:t>
        </w:r>
        <w:r w:rsidR="00275C0A" w:rsidRPr="00AD1DFD">
          <w:rPr>
            <w:rFonts w:asciiTheme="minorHAnsi" w:hAnsiTheme="minorHAnsi" w:cstheme="minorHAnsi"/>
            <w:sz w:val="16"/>
            <w:szCs w:val="16"/>
          </w:rPr>
          <w:t xml:space="preserve"> </w:t>
        </w:r>
        <w:proofErr w:type="gramEnd"/>
        <w:hyperlink r:id="rId1" w:history="1">
          <w:r w:rsidR="00B82DE0" w:rsidRPr="00B82DE0">
            <w:rPr>
              <w:rStyle w:val="Hyperlink"/>
              <w:sz w:val="14"/>
            </w:rPr>
            <w:t>ExecRemStatOffices@apsc.gov.au</w:t>
          </w:r>
        </w:hyperlink>
        <w:r w:rsidR="00B82DE0" w:rsidRPr="00B82DE0">
          <w:rPr>
            <w:sz w:val="14"/>
          </w:rPr>
          <w:t xml:space="preserve"> </w:t>
        </w:r>
      </w:p>
      <w:p w:rsidR="00DD3772" w:rsidRDefault="000D2337" w:rsidP="0097120D">
        <w:pPr>
          <w:pStyle w:val="Footer"/>
          <w:tabs>
            <w:tab w:val="left" w:pos="7256"/>
            <w:tab w:val="right" w:pos="9921"/>
          </w:tabs>
          <w:ind w:left="567"/>
          <w:jc w:val="right"/>
          <w:rPr>
            <w:color w:val="7F7F7F" w:themeColor="background1" w:themeShade="7F"/>
            <w:spacing w:val="60"/>
          </w:rPr>
        </w:pPr>
      </w:p>
    </w:sdtContent>
  </w:sdt>
  <w:p w:rsidR="00DD3772" w:rsidRDefault="00DD3772" w:rsidP="003C75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772" w:rsidRDefault="00DD3772" w:rsidP="00710F6A">
      <w:r>
        <w:separator/>
      </w:r>
    </w:p>
  </w:footnote>
  <w:footnote w:type="continuationSeparator" w:id="0">
    <w:p w:rsidR="00DD3772" w:rsidRDefault="00DD3772" w:rsidP="00710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13F1"/>
    <w:multiLevelType w:val="hybridMultilevel"/>
    <w:tmpl w:val="7204A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6B60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547AA0"/>
    <w:multiLevelType w:val="hybridMultilevel"/>
    <w:tmpl w:val="6E3C962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D0E4EC3"/>
    <w:multiLevelType w:val="hybridMultilevel"/>
    <w:tmpl w:val="879AA23C"/>
    <w:lvl w:ilvl="0" w:tplc="5DC601CE">
      <w:start w:val="1"/>
      <w:numFmt w:val="bullet"/>
      <w:lvlText w:val=""/>
      <w:lvlJc w:val="left"/>
      <w:pPr>
        <w:ind w:left="1379" w:hanging="360"/>
      </w:pPr>
      <w:rPr>
        <w:rFonts w:ascii="Symbol" w:hAnsi="Symbol" w:hint="default"/>
        <w:sz w:val="18"/>
      </w:rPr>
    </w:lvl>
    <w:lvl w:ilvl="1" w:tplc="0C090003" w:tentative="1">
      <w:start w:val="1"/>
      <w:numFmt w:val="bullet"/>
      <w:lvlText w:val="o"/>
      <w:lvlJc w:val="left"/>
      <w:pPr>
        <w:ind w:left="2099" w:hanging="360"/>
      </w:pPr>
      <w:rPr>
        <w:rFonts w:ascii="Courier New" w:hAnsi="Courier New" w:cs="Courier New" w:hint="default"/>
      </w:rPr>
    </w:lvl>
    <w:lvl w:ilvl="2" w:tplc="0C090005" w:tentative="1">
      <w:start w:val="1"/>
      <w:numFmt w:val="bullet"/>
      <w:lvlText w:val=""/>
      <w:lvlJc w:val="left"/>
      <w:pPr>
        <w:ind w:left="2819" w:hanging="360"/>
      </w:pPr>
      <w:rPr>
        <w:rFonts w:ascii="Wingdings" w:hAnsi="Wingdings" w:hint="default"/>
      </w:rPr>
    </w:lvl>
    <w:lvl w:ilvl="3" w:tplc="0C090001" w:tentative="1">
      <w:start w:val="1"/>
      <w:numFmt w:val="bullet"/>
      <w:lvlText w:val=""/>
      <w:lvlJc w:val="left"/>
      <w:pPr>
        <w:ind w:left="3539" w:hanging="360"/>
      </w:pPr>
      <w:rPr>
        <w:rFonts w:ascii="Symbol" w:hAnsi="Symbol" w:hint="default"/>
      </w:rPr>
    </w:lvl>
    <w:lvl w:ilvl="4" w:tplc="0C090003" w:tentative="1">
      <w:start w:val="1"/>
      <w:numFmt w:val="bullet"/>
      <w:lvlText w:val="o"/>
      <w:lvlJc w:val="left"/>
      <w:pPr>
        <w:ind w:left="4259" w:hanging="360"/>
      </w:pPr>
      <w:rPr>
        <w:rFonts w:ascii="Courier New" w:hAnsi="Courier New" w:cs="Courier New" w:hint="default"/>
      </w:rPr>
    </w:lvl>
    <w:lvl w:ilvl="5" w:tplc="0C090005" w:tentative="1">
      <w:start w:val="1"/>
      <w:numFmt w:val="bullet"/>
      <w:lvlText w:val=""/>
      <w:lvlJc w:val="left"/>
      <w:pPr>
        <w:ind w:left="4979" w:hanging="360"/>
      </w:pPr>
      <w:rPr>
        <w:rFonts w:ascii="Wingdings" w:hAnsi="Wingdings" w:hint="default"/>
      </w:rPr>
    </w:lvl>
    <w:lvl w:ilvl="6" w:tplc="0C090001" w:tentative="1">
      <w:start w:val="1"/>
      <w:numFmt w:val="bullet"/>
      <w:lvlText w:val=""/>
      <w:lvlJc w:val="left"/>
      <w:pPr>
        <w:ind w:left="5699" w:hanging="360"/>
      </w:pPr>
      <w:rPr>
        <w:rFonts w:ascii="Symbol" w:hAnsi="Symbol" w:hint="default"/>
      </w:rPr>
    </w:lvl>
    <w:lvl w:ilvl="7" w:tplc="0C090003" w:tentative="1">
      <w:start w:val="1"/>
      <w:numFmt w:val="bullet"/>
      <w:lvlText w:val="o"/>
      <w:lvlJc w:val="left"/>
      <w:pPr>
        <w:ind w:left="6419" w:hanging="360"/>
      </w:pPr>
      <w:rPr>
        <w:rFonts w:ascii="Courier New" w:hAnsi="Courier New" w:cs="Courier New" w:hint="default"/>
      </w:rPr>
    </w:lvl>
    <w:lvl w:ilvl="8" w:tplc="0C090005" w:tentative="1">
      <w:start w:val="1"/>
      <w:numFmt w:val="bullet"/>
      <w:lvlText w:val=""/>
      <w:lvlJc w:val="left"/>
      <w:pPr>
        <w:ind w:left="7139" w:hanging="360"/>
      </w:pPr>
      <w:rPr>
        <w:rFonts w:ascii="Wingdings" w:hAnsi="Wingdings" w:hint="default"/>
      </w:rPr>
    </w:lvl>
  </w:abstractNum>
  <w:abstractNum w:abstractNumId="4" w15:restartNumberingAfterBreak="0">
    <w:nsid w:val="2A280049"/>
    <w:multiLevelType w:val="hybridMultilevel"/>
    <w:tmpl w:val="4A783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A2793B"/>
    <w:multiLevelType w:val="hybridMultilevel"/>
    <w:tmpl w:val="35100D2C"/>
    <w:lvl w:ilvl="0" w:tplc="0C090001">
      <w:start w:val="1"/>
      <w:numFmt w:val="bullet"/>
      <w:lvlText w:val=""/>
      <w:lvlJc w:val="left"/>
      <w:pPr>
        <w:ind w:left="1148" w:hanging="360"/>
      </w:pPr>
      <w:rPr>
        <w:rFonts w:ascii="Symbol" w:hAnsi="Symbol" w:hint="default"/>
      </w:rPr>
    </w:lvl>
    <w:lvl w:ilvl="1" w:tplc="0C090003">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6" w15:restartNumberingAfterBreak="0">
    <w:nsid w:val="31832399"/>
    <w:multiLevelType w:val="hybridMultilevel"/>
    <w:tmpl w:val="BB1CC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7D0816"/>
    <w:multiLevelType w:val="multilevel"/>
    <w:tmpl w:val="64C8EA62"/>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0C2FB0"/>
    <w:multiLevelType w:val="hybridMultilevel"/>
    <w:tmpl w:val="035AD9FA"/>
    <w:lvl w:ilvl="0" w:tplc="45809FB8">
      <w:start w:val="1"/>
      <w:numFmt w:val="lowerLetter"/>
      <w:lvlText w:val="(%1)"/>
      <w:lvlJc w:val="left"/>
      <w:pPr>
        <w:ind w:left="1143" w:hanging="576"/>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56E30C38"/>
    <w:multiLevelType w:val="hybridMultilevel"/>
    <w:tmpl w:val="1A9C56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A9955F8"/>
    <w:multiLevelType w:val="hybridMultilevel"/>
    <w:tmpl w:val="C1103354"/>
    <w:lvl w:ilvl="0" w:tplc="0C090019">
      <w:start w:val="1"/>
      <w:numFmt w:val="lowerLetter"/>
      <w:lvlText w:val="%1."/>
      <w:lvlJc w:val="left"/>
      <w:pPr>
        <w:ind w:left="1148" w:hanging="360"/>
      </w:pPr>
      <w:rPr>
        <w:rFonts w:hint="default"/>
      </w:rPr>
    </w:lvl>
    <w:lvl w:ilvl="1" w:tplc="0C090003">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11" w15:restartNumberingAfterBreak="0">
    <w:nsid w:val="60542E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394271"/>
    <w:multiLevelType w:val="hybridMultilevel"/>
    <w:tmpl w:val="3F24B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5B385C"/>
    <w:multiLevelType w:val="hybridMultilevel"/>
    <w:tmpl w:val="C3C4C562"/>
    <w:lvl w:ilvl="0" w:tplc="5DC601CE">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EC7908"/>
    <w:multiLevelType w:val="hybridMultilevel"/>
    <w:tmpl w:val="100AB018"/>
    <w:lvl w:ilvl="0" w:tplc="0C090019">
      <w:start w:val="1"/>
      <w:numFmt w:val="lowerLetter"/>
      <w:lvlText w:val="%1."/>
      <w:lvlJc w:val="left"/>
      <w:pPr>
        <w:ind w:left="1148" w:hanging="360"/>
      </w:pPr>
      <w:rPr>
        <w:rFonts w:hint="default"/>
      </w:rPr>
    </w:lvl>
    <w:lvl w:ilvl="1" w:tplc="0C090003">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15" w15:restartNumberingAfterBreak="0">
    <w:nsid w:val="70FA788D"/>
    <w:multiLevelType w:val="hybridMultilevel"/>
    <w:tmpl w:val="035AD9FA"/>
    <w:lvl w:ilvl="0" w:tplc="45809FB8">
      <w:start w:val="1"/>
      <w:numFmt w:val="lowerLetter"/>
      <w:lvlText w:val="(%1)"/>
      <w:lvlJc w:val="left"/>
      <w:pPr>
        <w:ind w:left="576" w:hanging="576"/>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F397268"/>
    <w:multiLevelType w:val="hybridMultilevel"/>
    <w:tmpl w:val="9B6C2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4"/>
  </w:num>
  <w:num w:numId="5">
    <w:abstractNumId w:val="3"/>
  </w:num>
  <w:num w:numId="6">
    <w:abstractNumId w:val="6"/>
  </w:num>
  <w:num w:numId="7">
    <w:abstractNumId w:val="15"/>
  </w:num>
  <w:num w:numId="8">
    <w:abstractNumId w:val="7"/>
  </w:num>
  <w:num w:numId="9">
    <w:abstractNumId w:val="13"/>
  </w:num>
  <w:num w:numId="10">
    <w:abstractNumId w:val="12"/>
  </w:num>
  <w:num w:numId="11">
    <w:abstractNumId w:val="0"/>
  </w:num>
  <w:num w:numId="12">
    <w:abstractNumId w:val="9"/>
  </w:num>
  <w:num w:numId="13">
    <w:abstractNumId w:val="1"/>
  </w:num>
  <w:num w:numId="14">
    <w:abstractNumId w:val="11"/>
  </w:num>
  <w:num w:numId="15">
    <w:abstractNumId w:val="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67"/>
    <w:rsid w:val="00014AD5"/>
    <w:rsid w:val="000305E9"/>
    <w:rsid w:val="000349AD"/>
    <w:rsid w:val="00043B3E"/>
    <w:rsid w:val="00051F67"/>
    <w:rsid w:val="00052854"/>
    <w:rsid w:val="00055584"/>
    <w:rsid w:val="00062A83"/>
    <w:rsid w:val="00062C73"/>
    <w:rsid w:val="00066265"/>
    <w:rsid w:val="00067A70"/>
    <w:rsid w:val="00075171"/>
    <w:rsid w:val="00087250"/>
    <w:rsid w:val="000C0B06"/>
    <w:rsid w:val="000C6E50"/>
    <w:rsid w:val="000D2337"/>
    <w:rsid w:val="000D2993"/>
    <w:rsid w:val="000D5B1A"/>
    <w:rsid w:val="000F5EBE"/>
    <w:rsid w:val="000F67AB"/>
    <w:rsid w:val="001002E4"/>
    <w:rsid w:val="00101665"/>
    <w:rsid w:val="0011302D"/>
    <w:rsid w:val="001149A3"/>
    <w:rsid w:val="00146E61"/>
    <w:rsid w:val="00155B95"/>
    <w:rsid w:val="0016332D"/>
    <w:rsid w:val="00164718"/>
    <w:rsid w:val="001738FE"/>
    <w:rsid w:val="00173D1D"/>
    <w:rsid w:val="00174742"/>
    <w:rsid w:val="0018286D"/>
    <w:rsid w:val="001B065C"/>
    <w:rsid w:val="001B2520"/>
    <w:rsid w:val="001B54D5"/>
    <w:rsid w:val="001D1D8D"/>
    <w:rsid w:val="001E1CF1"/>
    <w:rsid w:val="00203E22"/>
    <w:rsid w:val="00211E2E"/>
    <w:rsid w:val="002317E9"/>
    <w:rsid w:val="00237916"/>
    <w:rsid w:val="00237A7D"/>
    <w:rsid w:val="00242029"/>
    <w:rsid w:val="0024230A"/>
    <w:rsid w:val="00247CC6"/>
    <w:rsid w:val="00260446"/>
    <w:rsid w:val="00275C0A"/>
    <w:rsid w:val="002843D4"/>
    <w:rsid w:val="00293434"/>
    <w:rsid w:val="002A186C"/>
    <w:rsid w:val="002A26CC"/>
    <w:rsid w:val="002C780D"/>
    <w:rsid w:val="002D4106"/>
    <w:rsid w:val="002F0BDF"/>
    <w:rsid w:val="002F0E5C"/>
    <w:rsid w:val="00333F07"/>
    <w:rsid w:val="00340973"/>
    <w:rsid w:val="003421E1"/>
    <w:rsid w:val="003535DD"/>
    <w:rsid w:val="0035664A"/>
    <w:rsid w:val="00357E1D"/>
    <w:rsid w:val="003729C7"/>
    <w:rsid w:val="00384D3A"/>
    <w:rsid w:val="00394B67"/>
    <w:rsid w:val="003A06EE"/>
    <w:rsid w:val="003B1D72"/>
    <w:rsid w:val="003B3A84"/>
    <w:rsid w:val="003B65A7"/>
    <w:rsid w:val="003C755C"/>
    <w:rsid w:val="003C7BC2"/>
    <w:rsid w:val="003D0538"/>
    <w:rsid w:val="003D4A6B"/>
    <w:rsid w:val="003D4F05"/>
    <w:rsid w:val="003E459F"/>
    <w:rsid w:val="004160FA"/>
    <w:rsid w:val="00432E17"/>
    <w:rsid w:val="00441410"/>
    <w:rsid w:val="00445565"/>
    <w:rsid w:val="004460AA"/>
    <w:rsid w:val="00455FDB"/>
    <w:rsid w:val="00483DC6"/>
    <w:rsid w:val="00492AE1"/>
    <w:rsid w:val="004A507C"/>
    <w:rsid w:val="004B58CC"/>
    <w:rsid w:val="004D3392"/>
    <w:rsid w:val="004D37D1"/>
    <w:rsid w:val="004D78DD"/>
    <w:rsid w:val="004E00AB"/>
    <w:rsid w:val="004E1C12"/>
    <w:rsid w:val="004E4E03"/>
    <w:rsid w:val="004F21B6"/>
    <w:rsid w:val="004F3F1D"/>
    <w:rsid w:val="0051373B"/>
    <w:rsid w:val="00522D43"/>
    <w:rsid w:val="00525EE3"/>
    <w:rsid w:val="00532834"/>
    <w:rsid w:val="00562E01"/>
    <w:rsid w:val="00571A74"/>
    <w:rsid w:val="00574AEE"/>
    <w:rsid w:val="005822A8"/>
    <w:rsid w:val="0058772E"/>
    <w:rsid w:val="005A5AB4"/>
    <w:rsid w:val="005B11A4"/>
    <w:rsid w:val="005C293B"/>
    <w:rsid w:val="005C578E"/>
    <w:rsid w:val="005C7D0D"/>
    <w:rsid w:val="005D1276"/>
    <w:rsid w:val="005D236C"/>
    <w:rsid w:val="005D3529"/>
    <w:rsid w:val="005D7A4B"/>
    <w:rsid w:val="005E2B70"/>
    <w:rsid w:val="005E78C2"/>
    <w:rsid w:val="005F110E"/>
    <w:rsid w:val="005F4C24"/>
    <w:rsid w:val="0060684C"/>
    <w:rsid w:val="006078EC"/>
    <w:rsid w:val="00631433"/>
    <w:rsid w:val="00631A1E"/>
    <w:rsid w:val="00633D8D"/>
    <w:rsid w:val="00646ABF"/>
    <w:rsid w:val="00665AEA"/>
    <w:rsid w:val="00665F56"/>
    <w:rsid w:val="0067589F"/>
    <w:rsid w:val="0068095C"/>
    <w:rsid w:val="00691DA7"/>
    <w:rsid w:val="00692327"/>
    <w:rsid w:val="00697ECD"/>
    <w:rsid w:val="006A1144"/>
    <w:rsid w:val="006B77C7"/>
    <w:rsid w:val="006B7A55"/>
    <w:rsid w:val="006C5592"/>
    <w:rsid w:val="006D506F"/>
    <w:rsid w:val="006E22F3"/>
    <w:rsid w:val="006E6B7B"/>
    <w:rsid w:val="00700F26"/>
    <w:rsid w:val="00701DB0"/>
    <w:rsid w:val="00710F6A"/>
    <w:rsid w:val="00714C21"/>
    <w:rsid w:val="0071764B"/>
    <w:rsid w:val="00721EE4"/>
    <w:rsid w:val="0072332E"/>
    <w:rsid w:val="00737AB0"/>
    <w:rsid w:val="00737DA2"/>
    <w:rsid w:val="00743103"/>
    <w:rsid w:val="00743773"/>
    <w:rsid w:val="00756F50"/>
    <w:rsid w:val="00760725"/>
    <w:rsid w:val="00783836"/>
    <w:rsid w:val="00783E2B"/>
    <w:rsid w:val="00791F6A"/>
    <w:rsid w:val="007953B2"/>
    <w:rsid w:val="007B056D"/>
    <w:rsid w:val="007B18E0"/>
    <w:rsid w:val="007B2830"/>
    <w:rsid w:val="007B37C8"/>
    <w:rsid w:val="007B7AC5"/>
    <w:rsid w:val="007C429C"/>
    <w:rsid w:val="007D0570"/>
    <w:rsid w:val="007E3DE5"/>
    <w:rsid w:val="007E494B"/>
    <w:rsid w:val="00802485"/>
    <w:rsid w:val="008032B4"/>
    <w:rsid w:val="00812A50"/>
    <w:rsid w:val="00831496"/>
    <w:rsid w:val="0083182C"/>
    <w:rsid w:val="008367F6"/>
    <w:rsid w:val="00836E30"/>
    <w:rsid w:val="00842415"/>
    <w:rsid w:val="00845E13"/>
    <w:rsid w:val="008627C4"/>
    <w:rsid w:val="00862B5B"/>
    <w:rsid w:val="00864757"/>
    <w:rsid w:val="0089464A"/>
    <w:rsid w:val="008B4ACE"/>
    <w:rsid w:val="008B4EFA"/>
    <w:rsid w:val="008B5C68"/>
    <w:rsid w:val="008C0FD4"/>
    <w:rsid w:val="008C5DE1"/>
    <w:rsid w:val="008D0A71"/>
    <w:rsid w:val="008D4AC3"/>
    <w:rsid w:val="008D7836"/>
    <w:rsid w:val="008E0F7E"/>
    <w:rsid w:val="008F7161"/>
    <w:rsid w:val="009020B2"/>
    <w:rsid w:val="009030B9"/>
    <w:rsid w:val="00917FED"/>
    <w:rsid w:val="00921453"/>
    <w:rsid w:val="0092198D"/>
    <w:rsid w:val="00923E94"/>
    <w:rsid w:val="0092512B"/>
    <w:rsid w:val="00925736"/>
    <w:rsid w:val="009257A5"/>
    <w:rsid w:val="00935447"/>
    <w:rsid w:val="00952920"/>
    <w:rsid w:val="009604D9"/>
    <w:rsid w:val="0096152B"/>
    <w:rsid w:val="0097120D"/>
    <w:rsid w:val="00980C17"/>
    <w:rsid w:val="0099197B"/>
    <w:rsid w:val="009D5551"/>
    <w:rsid w:val="009D5559"/>
    <w:rsid w:val="009E3E6C"/>
    <w:rsid w:val="009E6A59"/>
    <w:rsid w:val="009F01C7"/>
    <w:rsid w:val="009F11BF"/>
    <w:rsid w:val="009F68C7"/>
    <w:rsid w:val="00A03520"/>
    <w:rsid w:val="00A03B28"/>
    <w:rsid w:val="00A16379"/>
    <w:rsid w:val="00A2118B"/>
    <w:rsid w:val="00A35BAC"/>
    <w:rsid w:val="00A36281"/>
    <w:rsid w:val="00A463FE"/>
    <w:rsid w:val="00A469B7"/>
    <w:rsid w:val="00A722B0"/>
    <w:rsid w:val="00A76FDB"/>
    <w:rsid w:val="00A873C7"/>
    <w:rsid w:val="00A95454"/>
    <w:rsid w:val="00A95BBB"/>
    <w:rsid w:val="00AA7F43"/>
    <w:rsid w:val="00AB3C1C"/>
    <w:rsid w:val="00AD09C9"/>
    <w:rsid w:val="00AD1DFD"/>
    <w:rsid w:val="00AF32FA"/>
    <w:rsid w:val="00AF521F"/>
    <w:rsid w:val="00B027D2"/>
    <w:rsid w:val="00B30CB8"/>
    <w:rsid w:val="00B409F6"/>
    <w:rsid w:val="00B4410E"/>
    <w:rsid w:val="00B44747"/>
    <w:rsid w:val="00B460B3"/>
    <w:rsid w:val="00B473E5"/>
    <w:rsid w:val="00B54305"/>
    <w:rsid w:val="00B64E14"/>
    <w:rsid w:val="00B73486"/>
    <w:rsid w:val="00B751CC"/>
    <w:rsid w:val="00B75D8D"/>
    <w:rsid w:val="00B77C85"/>
    <w:rsid w:val="00B82DE0"/>
    <w:rsid w:val="00B83858"/>
    <w:rsid w:val="00B90B53"/>
    <w:rsid w:val="00B93ED2"/>
    <w:rsid w:val="00BC55C7"/>
    <w:rsid w:val="00BC57A5"/>
    <w:rsid w:val="00BD0122"/>
    <w:rsid w:val="00BD10E9"/>
    <w:rsid w:val="00BD4B11"/>
    <w:rsid w:val="00BD5AA2"/>
    <w:rsid w:val="00BE76B7"/>
    <w:rsid w:val="00C11ABA"/>
    <w:rsid w:val="00C27C5D"/>
    <w:rsid w:val="00C34B78"/>
    <w:rsid w:val="00C45A4C"/>
    <w:rsid w:val="00C465E9"/>
    <w:rsid w:val="00C511A7"/>
    <w:rsid w:val="00C9621D"/>
    <w:rsid w:val="00C968B3"/>
    <w:rsid w:val="00C97943"/>
    <w:rsid w:val="00CA2DF0"/>
    <w:rsid w:val="00CB37F0"/>
    <w:rsid w:val="00CB6F01"/>
    <w:rsid w:val="00CC7DE3"/>
    <w:rsid w:val="00CE0F40"/>
    <w:rsid w:val="00CF5F78"/>
    <w:rsid w:val="00D01A3E"/>
    <w:rsid w:val="00D03A38"/>
    <w:rsid w:val="00D177BA"/>
    <w:rsid w:val="00D232C7"/>
    <w:rsid w:val="00D63639"/>
    <w:rsid w:val="00D63FE2"/>
    <w:rsid w:val="00D776ED"/>
    <w:rsid w:val="00D832DA"/>
    <w:rsid w:val="00D84009"/>
    <w:rsid w:val="00D85C77"/>
    <w:rsid w:val="00D9262E"/>
    <w:rsid w:val="00D978B4"/>
    <w:rsid w:val="00D97E53"/>
    <w:rsid w:val="00DB5B37"/>
    <w:rsid w:val="00DC07FC"/>
    <w:rsid w:val="00DC580D"/>
    <w:rsid w:val="00DD3772"/>
    <w:rsid w:val="00DD673E"/>
    <w:rsid w:val="00DD7C3A"/>
    <w:rsid w:val="00E229A5"/>
    <w:rsid w:val="00E25E8A"/>
    <w:rsid w:val="00E41B46"/>
    <w:rsid w:val="00E44BD7"/>
    <w:rsid w:val="00E44CE3"/>
    <w:rsid w:val="00E4580B"/>
    <w:rsid w:val="00E46CD8"/>
    <w:rsid w:val="00E50657"/>
    <w:rsid w:val="00E53B10"/>
    <w:rsid w:val="00E6113D"/>
    <w:rsid w:val="00E65DE5"/>
    <w:rsid w:val="00E801CB"/>
    <w:rsid w:val="00E84289"/>
    <w:rsid w:val="00E90704"/>
    <w:rsid w:val="00EA7918"/>
    <w:rsid w:val="00EB696C"/>
    <w:rsid w:val="00EC0C64"/>
    <w:rsid w:val="00EC1062"/>
    <w:rsid w:val="00EC3047"/>
    <w:rsid w:val="00ED778E"/>
    <w:rsid w:val="00EF6191"/>
    <w:rsid w:val="00F210B5"/>
    <w:rsid w:val="00F27BEA"/>
    <w:rsid w:val="00F46264"/>
    <w:rsid w:val="00F46D7C"/>
    <w:rsid w:val="00F55B0E"/>
    <w:rsid w:val="00F76940"/>
    <w:rsid w:val="00F85192"/>
    <w:rsid w:val="00F853CC"/>
    <w:rsid w:val="00F85E24"/>
    <w:rsid w:val="00F909D4"/>
    <w:rsid w:val="00FB2463"/>
    <w:rsid w:val="00FC5C94"/>
    <w:rsid w:val="00FD16BC"/>
    <w:rsid w:val="00FD2932"/>
    <w:rsid w:val="00FF31D9"/>
    <w:rsid w:val="00FF7E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360A2A6F"/>
  <w15:docId w15:val="{BD317FE1-DB1C-463E-BA64-EB797EC6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67"/>
    <w:rPr>
      <w:rFonts w:ascii="Arial" w:hAnsi="Arial"/>
      <w:sz w:val="22"/>
      <w:lang w:eastAsia="en-US"/>
    </w:rPr>
  </w:style>
  <w:style w:type="paragraph" w:styleId="Heading1">
    <w:name w:val="heading 1"/>
    <w:next w:val="Normal"/>
    <w:qFormat/>
    <w:rsid w:val="00492AE1"/>
    <w:pPr>
      <w:pageBreakBefore/>
      <w:spacing w:before="1200" w:after="240"/>
      <w:outlineLvl w:val="0"/>
    </w:pPr>
    <w:rPr>
      <w:rFonts w:asciiTheme="minorHAnsi" w:hAnsiTheme="minorHAnsi" w:cstheme="minorHAnsi"/>
      <w:bCs/>
      <w:color w:val="365F91" w:themeColor="accent1" w:themeShade="BF"/>
      <w:sz w:val="40"/>
      <w:szCs w:val="26"/>
      <w:lang w:eastAsia="en-US"/>
    </w:rPr>
  </w:style>
  <w:style w:type="paragraph" w:styleId="Heading2">
    <w:name w:val="heading 2"/>
    <w:basedOn w:val="ListParagraph"/>
    <w:next w:val="Normal"/>
    <w:qFormat/>
    <w:rsid w:val="009257A5"/>
    <w:pPr>
      <w:keepNext/>
      <w:numPr>
        <w:numId w:val="8"/>
      </w:numPr>
      <w:spacing w:before="240" w:after="120"/>
      <w:ind w:left="357" w:hanging="357"/>
      <w:outlineLvl w:val="1"/>
    </w:pPr>
    <w:rPr>
      <w:rFonts w:asciiTheme="minorHAnsi" w:hAnsiTheme="minorHAnsi" w:cstheme="minorHAnsi"/>
      <w:color w:val="365F91" w:themeColor="accent1" w:themeShade="BF"/>
      <w:sz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F67"/>
    <w:pPr>
      <w:ind w:left="720"/>
      <w:contextualSpacing/>
    </w:pPr>
  </w:style>
  <w:style w:type="table" w:styleId="TableGrid">
    <w:name w:val="Table Grid"/>
    <w:basedOn w:val="TableNormal"/>
    <w:rsid w:val="0005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1F6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10F6A"/>
    <w:rPr>
      <w:rFonts w:ascii="Tahoma" w:hAnsi="Tahoma" w:cs="Tahoma"/>
      <w:sz w:val="16"/>
      <w:szCs w:val="16"/>
    </w:rPr>
  </w:style>
  <w:style w:type="character" w:customStyle="1" w:styleId="BalloonTextChar">
    <w:name w:val="Balloon Text Char"/>
    <w:basedOn w:val="DefaultParagraphFont"/>
    <w:link w:val="BalloonText"/>
    <w:rsid w:val="00710F6A"/>
    <w:rPr>
      <w:rFonts w:ascii="Tahoma" w:hAnsi="Tahoma" w:cs="Tahoma"/>
      <w:sz w:val="16"/>
      <w:szCs w:val="16"/>
      <w:lang w:eastAsia="en-US"/>
    </w:rPr>
  </w:style>
  <w:style w:type="paragraph" w:styleId="Header">
    <w:name w:val="header"/>
    <w:basedOn w:val="Normal"/>
    <w:link w:val="HeaderChar"/>
    <w:rsid w:val="00710F6A"/>
    <w:pPr>
      <w:tabs>
        <w:tab w:val="center" w:pos="4513"/>
        <w:tab w:val="right" w:pos="9026"/>
      </w:tabs>
    </w:pPr>
  </w:style>
  <w:style w:type="character" w:customStyle="1" w:styleId="HeaderChar">
    <w:name w:val="Header Char"/>
    <w:basedOn w:val="DefaultParagraphFont"/>
    <w:link w:val="Header"/>
    <w:uiPriority w:val="99"/>
    <w:rsid w:val="00710F6A"/>
    <w:rPr>
      <w:rFonts w:ascii="Arial" w:hAnsi="Arial"/>
      <w:sz w:val="22"/>
      <w:lang w:eastAsia="en-US"/>
    </w:rPr>
  </w:style>
  <w:style w:type="paragraph" w:styleId="Footer">
    <w:name w:val="footer"/>
    <w:basedOn w:val="Normal"/>
    <w:link w:val="FooterChar"/>
    <w:uiPriority w:val="99"/>
    <w:rsid w:val="00710F6A"/>
    <w:pPr>
      <w:tabs>
        <w:tab w:val="center" w:pos="4513"/>
        <w:tab w:val="right" w:pos="9026"/>
      </w:tabs>
    </w:pPr>
  </w:style>
  <w:style w:type="character" w:customStyle="1" w:styleId="FooterChar">
    <w:name w:val="Footer Char"/>
    <w:basedOn w:val="DefaultParagraphFont"/>
    <w:link w:val="Footer"/>
    <w:uiPriority w:val="99"/>
    <w:rsid w:val="00710F6A"/>
    <w:rPr>
      <w:rFonts w:ascii="Arial" w:hAnsi="Arial"/>
      <w:sz w:val="22"/>
      <w:lang w:eastAsia="en-US"/>
    </w:rPr>
  </w:style>
  <w:style w:type="character" w:styleId="CommentReference">
    <w:name w:val="annotation reference"/>
    <w:basedOn w:val="DefaultParagraphFont"/>
    <w:rsid w:val="00EC3047"/>
    <w:rPr>
      <w:sz w:val="16"/>
      <w:szCs w:val="16"/>
    </w:rPr>
  </w:style>
  <w:style w:type="paragraph" w:styleId="CommentText">
    <w:name w:val="annotation text"/>
    <w:basedOn w:val="Normal"/>
    <w:link w:val="CommentTextChar"/>
    <w:rsid w:val="00EC3047"/>
    <w:rPr>
      <w:sz w:val="20"/>
    </w:rPr>
  </w:style>
  <w:style w:type="character" w:customStyle="1" w:styleId="CommentTextChar">
    <w:name w:val="Comment Text Char"/>
    <w:basedOn w:val="DefaultParagraphFont"/>
    <w:link w:val="CommentText"/>
    <w:rsid w:val="00EC3047"/>
    <w:rPr>
      <w:rFonts w:ascii="Arial" w:hAnsi="Arial"/>
      <w:lang w:eastAsia="en-US"/>
    </w:rPr>
  </w:style>
  <w:style w:type="paragraph" w:styleId="CommentSubject">
    <w:name w:val="annotation subject"/>
    <w:basedOn w:val="CommentText"/>
    <w:next w:val="CommentText"/>
    <w:link w:val="CommentSubjectChar"/>
    <w:rsid w:val="00EC3047"/>
    <w:rPr>
      <w:b/>
      <w:bCs/>
    </w:rPr>
  </w:style>
  <w:style w:type="character" w:customStyle="1" w:styleId="CommentSubjectChar">
    <w:name w:val="Comment Subject Char"/>
    <w:basedOn w:val="CommentTextChar"/>
    <w:link w:val="CommentSubject"/>
    <w:rsid w:val="00EC3047"/>
    <w:rPr>
      <w:rFonts w:ascii="Arial" w:hAnsi="Arial"/>
      <w:b/>
      <w:bCs/>
      <w:lang w:eastAsia="en-US"/>
    </w:rPr>
  </w:style>
  <w:style w:type="paragraph" w:styleId="Revision">
    <w:name w:val="Revision"/>
    <w:hidden/>
    <w:uiPriority w:val="99"/>
    <w:semiHidden/>
    <w:rsid w:val="00EC3047"/>
    <w:rPr>
      <w:rFonts w:ascii="Arial" w:hAnsi="Arial"/>
      <w:sz w:val="22"/>
      <w:lang w:eastAsia="en-US"/>
    </w:rPr>
  </w:style>
  <w:style w:type="paragraph" w:styleId="FootnoteText">
    <w:name w:val="footnote text"/>
    <w:basedOn w:val="Normal"/>
    <w:link w:val="FootnoteTextChar"/>
    <w:rsid w:val="008B5C68"/>
    <w:rPr>
      <w:sz w:val="20"/>
    </w:rPr>
  </w:style>
  <w:style w:type="character" w:customStyle="1" w:styleId="FootnoteTextChar">
    <w:name w:val="Footnote Text Char"/>
    <w:basedOn w:val="DefaultParagraphFont"/>
    <w:link w:val="FootnoteText"/>
    <w:rsid w:val="008B5C68"/>
    <w:rPr>
      <w:rFonts w:ascii="Arial" w:hAnsi="Arial"/>
      <w:lang w:eastAsia="en-US"/>
    </w:rPr>
  </w:style>
  <w:style w:type="character" w:styleId="FootnoteReference">
    <w:name w:val="footnote reference"/>
    <w:basedOn w:val="DefaultParagraphFont"/>
    <w:rsid w:val="008B5C68"/>
    <w:rPr>
      <w:vertAlign w:val="superscript"/>
    </w:rPr>
  </w:style>
  <w:style w:type="character" w:styleId="Hyperlink">
    <w:name w:val="Hyperlink"/>
    <w:basedOn w:val="DefaultParagraphFont"/>
    <w:rsid w:val="00D85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20586">
      <w:bodyDiv w:val="1"/>
      <w:marLeft w:val="0"/>
      <w:marRight w:val="0"/>
      <w:marTop w:val="0"/>
      <w:marBottom w:val="0"/>
      <w:divBdr>
        <w:top w:val="none" w:sz="0" w:space="0" w:color="auto"/>
        <w:left w:val="none" w:sz="0" w:space="0" w:color="auto"/>
        <w:bottom w:val="none" w:sz="0" w:space="0" w:color="auto"/>
        <w:right w:val="none" w:sz="0" w:space="0" w:color="auto"/>
      </w:divBdr>
      <w:divsChild>
        <w:div w:id="39593047">
          <w:marLeft w:val="0"/>
          <w:marRight w:val="0"/>
          <w:marTop w:val="0"/>
          <w:marBottom w:val="0"/>
          <w:divBdr>
            <w:top w:val="none" w:sz="0" w:space="0" w:color="auto"/>
            <w:left w:val="none" w:sz="0" w:space="0" w:color="auto"/>
            <w:bottom w:val="none" w:sz="0" w:space="0" w:color="auto"/>
            <w:right w:val="none" w:sz="0" w:space="0" w:color="auto"/>
          </w:divBdr>
          <w:divsChild>
            <w:div w:id="696933129">
              <w:marLeft w:val="0"/>
              <w:marRight w:val="0"/>
              <w:marTop w:val="0"/>
              <w:marBottom w:val="0"/>
              <w:divBdr>
                <w:top w:val="none" w:sz="0" w:space="0" w:color="auto"/>
                <w:left w:val="none" w:sz="0" w:space="0" w:color="auto"/>
                <w:bottom w:val="none" w:sz="0" w:space="0" w:color="auto"/>
                <w:right w:val="none" w:sz="0" w:space="0" w:color="auto"/>
              </w:divBdr>
              <w:divsChild>
                <w:div w:id="1239439777">
                  <w:marLeft w:val="0"/>
                  <w:marRight w:val="0"/>
                  <w:marTop w:val="0"/>
                  <w:marBottom w:val="0"/>
                  <w:divBdr>
                    <w:top w:val="none" w:sz="0" w:space="0" w:color="auto"/>
                    <w:left w:val="none" w:sz="0" w:space="0" w:color="auto"/>
                    <w:bottom w:val="none" w:sz="0" w:space="0" w:color="auto"/>
                    <w:right w:val="none" w:sz="0" w:space="0" w:color="auto"/>
                  </w:divBdr>
                  <w:divsChild>
                    <w:div w:id="372922279">
                      <w:marLeft w:val="450"/>
                      <w:marRight w:val="450"/>
                      <w:marTop w:val="0"/>
                      <w:marBottom w:val="0"/>
                      <w:divBdr>
                        <w:top w:val="none" w:sz="0" w:space="0" w:color="auto"/>
                        <w:left w:val="none" w:sz="0" w:space="0" w:color="auto"/>
                        <w:bottom w:val="none" w:sz="0" w:space="0" w:color="auto"/>
                        <w:right w:val="none" w:sz="0" w:space="0" w:color="auto"/>
                      </w:divBdr>
                      <w:divsChild>
                        <w:div w:id="158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457481">
      <w:bodyDiv w:val="1"/>
      <w:marLeft w:val="0"/>
      <w:marRight w:val="0"/>
      <w:marTop w:val="0"/>
      <w:marBottom w:val="0"/>
      <w:divBdr>
        <w:top w:val="none" w:sz="0" w:space="0" w:color="auto"/>
        <w:left w:val="none" w:sz="0" w:space="0" w:color="auto"/>
        <w:bottom w:val="none" w:sz="0" w:space="0" w:color="auto"/>
        <w:right w:val="none" w:sz="0" w:space="0" w:color="auto"/>
      </w:divBdr>
    </w:div>
    <w:div w:id="10154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mtribunal.gov.au/offices/secretar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mtribunal.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xecRemStatOffices@apsc.gov.au" TargetMode="External"/><Relationship Id="rId4" Type="http://schemas.openxmlformats.org/officeDocument/2006/relationships/settings" Target="settings.xml"/><Relationship Id="rId9" Type="http://schemas.openxmlformats.org/officeDocument/2006/relationships/hyperlink" Target="https://www.apsc.gov.au/initiatives-and-programs/workplace-relations/public-sector-workplace-relations-policy-2020"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ExecRemStatOffices@aps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DE47-BCF9-45D4-BF09-F310C1C5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1773</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APS Executive Remuneration Management Policy</vt:lpstr>
    </vt:vector>
  </TitlesOfParts>
  <Company>Australian Government</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Executive Remuneration Management Policy</dc:title>
  <dc:creator>Australian Public Service Commission</dc:creator>
  <cp:lastModifiedBy>Coffill, Michelle</cp:lastModifiedBy>
  <cp:revision>3</cp:revision>
  <cp:lastPrinted>2016-08-26T03:58:00Z</cp:lastPrinted>
  <dcterms:created xsi:type="dcterms:W3CDTF">2022-05-06T06:50:00Z</dcterms:created>
  <dcterms:modified xsi:type="dcterms:W3CDTF">2022-05-06T07:00:00Z</dcterms:modified>
</cp:coreProperties>
</file>