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6A7C" w14:textId="2CBC7444" w:rsidR="006C49D3" w:rsidRPr="007B75C6" w:rsidRDefault="006A4E76" w:rsidP="00EF027E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APS </w:t>
      </w:r>
      <w:r w:rsidR="006C49D3" w:rsidRPr="007B75C6">
        <w:rPr>
          <w:b/>
          <w:sz w:val="36"/>
          <w:szCs w:val="36"/>
        </w:rPr>
        <w:t>HIERARCHY AND CLASSIFICATION REVIEW</w:t>
      </w:r>
    </w:p>
    <w:p w14:paraId="25BCAFFC" w14:textId="5D1836FA" w:rsidR="000B1DE2" w:rsidRPr="000B1DE2" w:rsidRDefault="00EF027E" w:rsidP="00F617FD">
      <w:pPr>
        <w:tabs>
          <w:tab w:val="right" w:pos="8931"/>
        </w:tabs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F617FD" w:rsidRPr="000B1DE2">
        <w:rPr>
          <w:b/>
          <w:sz w:val="32"/>
          <w:szCs w:val="32"/>
        </w:rPr>
        <w:t>ost-Release Listening Report</w:t>
      </w:r>
      <w:r w:rsidR="00F617FD">
        <w:rPr>
          <w:b/>
          <w:sz w:val="32"/>
          <w:szCs w:val="32"/>
        </w:rPr>
        <w:tab/>
      </w:r>
      <w:r w:rsidR="00F617FD" w:rsidRPr="000B1DE2">
        <w:rPr>
          <w:b/>
          <w:sz w:val="28"/>
          <w:szCs w:val="28"/>
        </w:rPr>
        <w:t>December 2022</w:t>
      </w:r>
    </w:p>
    <w:p w14:paraId="52B8242C" w14:textId="77777777" w:rsidR="008103F6" w:rsidRPr="003D1BF1" w:rsidRDefault="008103F6" w:rsidP="008103F6">
      <w:pPr>
        <w:spacing w:after="0"/>
        <w:rPr>
          <w:sz w:val="24"/>
          <w:szCs w:val="24"/>
        </w:rPr>
      </w:pPr>
    </w:p>
    <w:p w14:paraId="459574A2" w14:textId="3B05975A" w:rsidR="009C0791" w:rsidRDefault="00F4451E" w:rsidP="00D95370">
      <w:r w:rsidRPr="003D1BF1">
        <w:t xml:space="preserve">This report captures key </w:t>
      </w:r>
      <w:r w:rsidR="00842877">
        <w:t>themes</w:t>
      </w:r>
      <w:r w:rsidR="00A065B1">
        <w:t xml:space="preserve"> </w:t>
      </w:r>
      <w:r w:rsidR="00842877">
        <w:t xml:space="preserve">from staff engagement </w:t>
      </w:r>
      <w:r w:rsidRPr="003D1BF1">
        <w:t>since</w:t>
      </w:r>
      <w:r w:rsidR="00E93478">
        <w:t xml:space="preserve"> the </w:t>
      </w:r>
      <w:r w:rsidRPr="003D1BF1">
        <w:t>APS Hierarchy and Classification Review</w:t>
      </w:r>
      <w:r w:rsidR="00F60820">
        <w:t xml:space="preserve"> was released</w:t>
      </w:r>
      <w:r w:rsidRPr="003D1BF1">
        <w:t>.</w:t>
      </w:r>
      <w:r w:rsidR="00967406">
        <w:t xml:space="preserve"> </w:t>
      </w:r>
      <w:r w:rsidR="009C0791">
        <w:t xml:space="preserve">Thank you to everyone who </w:t>
      </w:r>
      <w:r w:rsidR="008C74ED">
        <w:t>provided input</w:t>
      </w:r>
      <w:r w:rsidR="00A2288B">
        <w:t xml:space="preserve">. </w:t>
      </w:r>
    </w:p>
    <w:p w14:paraId="7F23AEAF" w14:textId="77777777" w:rsidR="004074D5" w:rsidRPr="003A56D5" w:rsidRDefault="00F60820" w:rsidP="00D95370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Feedback</w:t>
      </w:r>
    </w:p>
    <w:p w14:paraId="48C146CD" w14:textId="703CFE90" w:rsidR="004074D5" w:rsidRPr="00966934" w:rsidRDefault="008A1A02" w:rsidP="00D95370">
      <w:r w:rsidRPr="00966934">
        <w:t xml:space="preserve">To coincide with the release of the independent APS Hierarchy and Classification Review, </w:t>
      </w:r>
      <w:r w:rsidR="00F60820" w:rsidRPr="00966934">
        <w:t xml:space="preserve">and consistent with the APSC’s undertaking to consult with staff and agencies, </w:t>
      </w:r>
      <w:r w:rsidR="00DC193F">
        <w:t xml:space="preserve">the APSC opened </w:t>
      </w:r>
      <w:r w:rsidRPr="00966934">
        <w:t>a</w:t>
      </w:r>
      <w:r w:rsidR="004074D5" w:rsidRPr="00966934">
        <w:rPr>
          <w:b/>
        </w:rPr>
        <w:t xml:space="preserve"> feedback form </w:t>
      </w:r>
      <w:r w:rsidR="0018100B" w:rsidRPr="00966934">
        <w:t xml:space="preserve">on </w:t>
      </w:r>
      <w:r w:rsidR="00DC193F">
        <w:t>our</w:t>
      </w:r>
      <w:r w:rsidR="0018100B" w:rsidRPr="00966934">
        <w:t xml:space="preserve"> website </w:t>
      </w:r>
      <w:r w:rsidR="004074D5" w:rsidRPr="00966934">
        <w:t>fr</w:t>
      </w:r>
      <w:r w:rsidRPr="00966934">
        <w:t>om 26 August to 31 October 2022. This form enabled people to register for future consultation opportunities and tell us what they thought about the issues raised by the Review.</w:t>
      </w:r>
    </w:p>
    <w:p w14:paraId="79800BD4" w14:textId="6EFED44B" w:rsidR="003A47B2" w:rsidRPr="00966934" w:rsidRDefault="004074D5" w:rsidP="00D95370">
      <w:r w:rsidRPr="00966934">
        <w:t xml:space="preserve">A total of </w:t>
      </w:r>
      <w:r w:rsidRPr="00966934">
        <w:rPr>
          <w:b/>
        </w:rPr>
        <w:t>273</w:t>
      </w:r>
      <w:r w:rsidRPr="00966934">
        <w:t xml:space="preserve"> responses were received</w:t>
      </w:r>
      <w:r w:rsidR="003A47B2" w:rsidRPr="00966934">
        <w:t xml:space="preserve">, of which </w:t>
      </w:r>
      <w:r w:rsidR="0031207C" w:rsidRPr="00966934">
        <w:t>254 (93%) were current APS staff</w:t>
      </w:r>
      <w:r w:rsidR="003A47B2" w:rsidRPr="00966934">
        <w:t>.</w:t>
      </w:r>
      <w:r w:rsidR="0031207C" w:rsidRPr="00966934">
        <w:t xml:space="preserve"> </w:t>
      </w:r>
      <w:r w:rsidR="00FF5222" w:rsidRPr="00966934">
        <w:t>Some</w:t>
      </w:r>
      <w:r w:rsidR="003A47B2" w:rsidRPr="00966934">
        <w:t xml:space="preserve"> 252</w:t>
      </w:r>
      <w:r w:rsidR="00DC193F">
        <w:t xml:space="preserve"> people</w:t>
      </w:r>
      <w:r w:rsidR="003A47B2" w:rsidRPr="00966934">
        <w:t xml:space="preserve"> (92% </w:t>
      </w:r>
      <w:r w:rsidR="00FF5222" w:rsidRPr="00966934">
        <w:t>of respondents</w:t>
      </w:r>
      <w:r w:rsidR="00DC193F">
        <w:t>)</w:t>
      </w:r>
      <w:r w:rsidR="00FF5222" w:rsidRPr="00966934">
        <w:t xml:space="preserve"> said they were i</w:t>
      </w:r>
      <w:r w:rsidR="003A47B2" w:rsidRPr="00966934">
        <w:t>nterest</w:t>
      </w:r>
      <w:r w:rsidR="00FF5222" w:rsidRPr="00966934">
        <w:t>ed</w:t>
      </w:r>
      <w:r w:rsidR="003A47B2" w:rsidRPr="00966934">
        <w:t xml:space="preserve"> in future consultation opportunities, with surveys (33%) and workshops (22%) being the preferred approaches.</w:t>
      </w:r>
    </w:p>
    <w:p w14:paraId="43273F8A" w14:textId="77777777" w:rsidR="003A47B2" w:rsidRPr="003A56D5" w:rsidRDefault="003A47B2" w:rsidP="00D95370">
      <w:pPr>
        <w:spacing w:before="240" w:after="120"/>
        <w:rPr>
          <w:b/>
          <w:sz w:val="28"/>
          <w:szCs w:val="28"/>
        </w:rPr>
      </w:pPr>
      <w:r w:rsidRPr="003A56D5">
        <w:rPr>
          <w:b/>
          <w:sz w:val="28"/>
          <w:szCs w:val="28"/>
        </w:rPr>
        <w:t>Themes</w:t>
      </w:r>
    </w:p>
    <w:p w14:paraId="2664311F" w14:textId="02182E69" w:rsidR="00316B3C" w:rsidRPr="00966934" w:rsidRDefault="00594D9C" w:rsidP="00804022">
      <w:pPr>
        <w:spacing w:after="0"/>
      </w:pPr>
      <w:r>
        <w:t xml:space="preserve">Reactions </w:t>
      </w:r>
      <w:r w:rsidR="00640339" w:rsidRPr="00966934">
        <w:t xml:space="preserve">to the Review </w:t>
      </w:r>
      <w:r>
        <w:t>were</w:t>
      </w:r>
      <w:r w:rsidR="00640339" w:rsidRPr="00966934">
        <w:t xml:space="preserve"> </w:t>
      </w:r>
      <w:r w:rsidR="00804022" w:rsidRPr="0095032D">
        <w:rPr>
          <w:b/>
        </w:rPr>
        <w:t>largely positive</w:t>
      </w:r>
      <w:r w:rsidR="00804022">
        <w:t xml:space="preserve">, </w:t>
      </w:r>
      <w:r w:rsidR="00CD7B49" w:rsidRPr="00966934">
        <w:t xml:space="preserve">although some respondents questioned specific recommendations or how change </w:t>
      </w:r>
      <w:r w:rsidR="0090351B">
        <w:t>c</w:t>
      </w:r>
      <w:r w:rsidR="00CD7B49" w:rsidRPr="00966934">
        <w:t>ould work in practice.</w:t>
      </w:r>
    </w:p>
    <w:p w14:paraId="35FE7E4D" w14:textId="77777777" w:rsidR="00640339" w:rsidRPr="00966934" w:rsidRDefault="00640339" w:rsidP="008103F6">
      <w:pPr>
        <w:spacing w:after="0"/>
      </w:pPr>
    </w:p>
    <w:p w14:paraId="13A179B8" w14:textId="3ED4F1E6" w:rsidR="00183C3B" w:rsidRDefault="00640339" w:rsidP="008103F6">
      <w:pPr>
        <w:spacing w:after="0"/>
      </w:pPr>
      <w:r w:rsidRPr="00966934">
        <w:t xml:space="preserve">The issue of </w:t>
      </w:r>
      <w:r w:rsidRPr="00966934">
        <w:rPr>
          <w:b/>
        </w:rPr>
        <w:t>specialist arrangements</w:t>
      </w:r>
      <w:r w:rsidRPr="00966934">
        <w:t xml:space="preserve"> was the strongest </w:t>
      </w:r>
      <w:r w:rsidR="00C120B6" w:rsidRPr="00966934">
        <w:t xml:space="preserve">specific </w:t>
      </w:r>
      <w:r w:rsidRPr="00966934">
        <w:t xml:space="preserve">theme to emerge, with 26% of respondents indicating this was an area of interest, followed by </w:t>
      </w:r>
      <w:r w:rsidRPr="00966934">
        <w:rPr>
          <w:b/>
        </w:rPr>
        <w:t>leadership</w:t>
      </w:r>
      <w:r w:rsidRPr="00966934">
        <w:t xml:space="preserve"> (23%). </w:t>
      </w:r>
      <w:r w:rsidR="003A0185" w:rsidRPr="00966934">
        <w:t>After this, t</w:t>
      </w:r>
      <w:r w:rsidR="005A4C26" w:rsidRPr="00966934">
        <w:t xml:space="preserve">here was a similar interest in </w:t>
      </w:r>
      <w:r w:rsidR="00D94D24" w:rsidRPr="00966934">
        <w:t xml:space="preserve">the issues of </w:t>
      </w:r>
      <w:r w:rsidR="005A4C26" w:rsidRPr="00966934">
        <w:rPr>
          <w:b/>
        </w:rPr>
        <w:t>empowerment</w:t>
      </w:r>
      <w:r w:rsidR="005A4C26" w:rsidRPr="00966934">
        <w:t xml:space="preserve">, </w:t>
      </w:r>
      <w:r w:rsidR="005A4C26" w:rsidRPr="00966934">
        <w:rPr>
          <w:b/>
        </w:rPr>
        <w:t>classifications</w:t>
      </w:r>
      <w:r w:rsidR="005A4C26" w:rsidRPr="00966934">
        <w:t xml:space="preserve">, </w:t>
      </w:r>
      <w:r w:rsidR="005A4C26" w:rsidRPr="00966934">
        <w:rPr>
          <w:b/>
        </w:rPr>
        <w:t>titles</w:t>
      </w:r>
      <w:r w:rsidR="00EE120A">
        <w:rPr>
          <w:b/>
        </w:rPr>
        <w:t xml:space="preserve">, </w:t>
      </w:r>
      <w:r w:rsidR="005A4C26" w:rsidRPr="00966934">
        <w:rPr>
          <w:b/>
        </w:rPr>
        <w:t>pay</w:t>
      </w:r>
      <w:r w:rsidR="00EE120A">
        <w:rPr>
          <w:b/>
        </w:rPr>
        <w:t xml:space="preserve"> </w:t>
      </w:r>
      <w:r w:rsidR="00EE120A" w:rsidRPr="004F5EC3">
        <w:t xml:space="preserve">and </w:t>
      </w:r>
      <w:r w:rsidR="00EE120A" w:rsidRPr="004F5EC3">
        <w:rPr>
          <w:b/>
        </w:rPr>
        <w:t>getting the basics right</w:t>
      </w:r>
      <w:r w:rsidR="00EE120A">
        <w:t xml:space="preserve"> (</w:t>
      </w:r>
      <w:r w:rsidR="0011636E">
        <w:t xml:space="preserve">which covered </w:t>
      </w:r>
      <w:r w:rsidR="0011636E" w:rsidRPr="00966934">
        <w:t>desire for more consistency around the level work is performed</w:t>
      </w:r>
      <w:r w:rsidR="0011636E">
        <w:t xml:space="preserve"> at</w:t>
      </w:r>
      <w:r w:rsidR="0011636E" w:rsidRPr="00966934">
        <w:t>, how performance is managed, merit-based promotion and how people are valued</w:t>
      </w:r>
      <w:r w:rsidR="00EE120A">
        <w:t>)</w:t>
      </w:r>
      <w:r w:rsidR="00183C3B">
        <w:t>.</w:t>
      </w:r>
    </w:p>
    <w:p w14:paraId="0A50D615" w14:textId="77777777" w:rsidR="00967406" w:rsidRDefault="00967406" w:rsidP="008103F6">
      <w:pPr>
        <w:spacing w:after="0"/>
      </w:pPr>
    </w:p>
    <w:p w14:paraId="274966CF" w14:textId="70BDA5E7" w:rsidR="00CD7B49" w:rsidRPr="00966934" w:rsidRDefault="00CD7B49" w:rsidP="008103F6">
      <w:pPr>
        <w:spacing w:after="0"/>
      </w:pPr>
      <w:r w:rsidRPr="00966934">
        <w:t xml:space="preserve">Feedback on specialist arrangements </w:t>
      </w:r>
      <w:r w:rsidR="00EF027E">
        <w:t>came from those in</w:t>
      </w:r>
      <w:r w:rsidRPr="00966934">
        <w:t xml:space="preserve"> a broad range of</w:t>
      </w:r>
      <w:r w:rsidR="00B96C5C" w:rsidRPr="00966934">
        <w:t xml:space="preserve"> </w:t>
      </w:r>
      <w:r w:rsidR="0011636E">
        <w:t>occupations</w:t>
      </w:r>
      <w:r w:rsidR="00B96C5C" w:rsidRPr="00966934">
        <w:t xml:space="preserve">, with some also noting that cultural knowledge could be considered a specialist skillset. The Review’s recommendation </w:t>
      </w:r>
      <w:r w:rsidR="00121B8B" w:rsidRPr="00966934">
        <w:t xml:space="preserve">on establishing career pathways </w:t>
      </w:r>
      <w:r w:rsidR="00967406">
        <w:t xml:space="preserve">that </w:t>
      </w:r>
      <w:r w:rsidR="00B96C5C" w:rsidRPr="00966934">
        <w:t>allow specialists to progress without n</w:t>
      </w:r>
      <w:r w:rsidR="00121B8B" w:rsidRPr="00966934">
        <w:t xml:space="preserve">ecessarily becoming </w:t>
      </w:r>
      <w:r w:rsidR="00B96C5C" w:rsidRPr="00966934">
        <w:t>managers was well received.</w:t>
      </w:r>
    </w:p>
    <w:p w14:paraId="45F9CE8B" w14:textId="77777777" w:rsidR="00B96C5C" w:rsidRPr="00966934" w:rsidRDefault="00B96C5C" w:rsidP="008103F6">
      <w:pPr>
        <w:spacing w:after="0"/>
      </w:pPr>
    </w:p>
    <w:p w14:paraId="270F68ED" w14:textId="3BF81855" w:rsidR="00051C65" w:rsidRDefault="00D94D24" w:rsidP="00051C65">
      <w:pPr>
        <w:spacing w:after="0"/>
      </w:pPr>
      <w:r w:rsidRPr="00966934">
        <w:t xml:space="preserve">Respondents </w:t>
      </w:r>
      <w:r w:rsidR="008E5419">
        <w:t>welcomed the idea of</w:t>
      </w:r>
      <w:r w:rsidRPr="00966934">
        <w:t xml:space="preserve"> </w:t>
      </w:r>
      <w:r w:rsidRPr="00966934">
        <w:rPr>
          <w:b/>
        </w:rPr>
        <w:t xml:space="preserve">modernising </w:t>
      </w:r>
      <w:r w:rsidRPr="00966934">
        <w:t xml:space="preserve">the way the APS operates. The idea of </w:t>
      </w:r>
      <w:r w:rsidRPr="00966934">
        <w:rPr>
          <w:b/>
        </w:rPr>
        <w:t>flatter</w:t>
      </w:r>
      <w:r w:rsidR="005049D0">
        <w:rPr>
          <w:b/>
        </w:rPr>
        <w:t xml:space="preserve"> structures</w:t>
      </w:r>
      <w:r w:rsidRPr="00966934">
        <w:t xml:space="preserve"> was generally well received, but there were notes of caution around</w:t>
      </w:r>
      <w:r w:rsidR="00483284" w:rsidRPr="00966934">
        <w:t xml:space="preserve"> </w:t>
      </w:r>
      <w:r w:rsidR="00E60252" w:rsidRPr="00966934">
        <w:t>clarity of responsibilities</w:t>
      </w:r>
      <w:r w:rsidR="0030373A" w:rsidRPr="00966934">
        <w:t xml:space="preserve">. There was some support for a new </w:t>
      </w:r>
      <w:r w:rsidR="0030373A" w:rsidRPr="00966934">
        <w:rPr>
          <w:b/>
        </w:rPr>
        <w:t>classification framework</w:t>
      </w:r>
      <w:r w:rsidR="0030373A" w:rsidRPr="00966934">
        <w:t xml:space="preserve">, although it was </w:t>
      </w:r>
      <w:r w:rsidR="0011636E">
        <w:t xml:space="preserve">not always </w:t>
      </w:r>
      <w:r w:rsidR="0030373A" w:rsidRPr="00966934">
        <w:t xml:space="preserve">clear how supportive respondents were of the </w:t>
      </w:r>
      <w:r w:rsidR="0011636E">
        <w:t xml:space="preserve">specific classification changes proposed by the Review. </w:t>
      </w:r>
    </w:p>
    <w:p w14:paraId="4929DF9F" w14:textId="77777777" w:rsidR="00051C65" w:rsidRDefault="00051C65" w:rsidP="00051C65">
      <w:pPr>
        <w:spacing w:after="0"/>
      </w:pPr>
    </w:p>
    <w:p w14:paraId="73B79CA0" w14:textId="3909C6EE" w:rsidR="007151C6" w:rsidRDefault="00051C65" w:rsidP="00051C65">
      <w:pPr>
        <w:spacing w:after="0"/>
        <w:sectPr w:rsidR="007151C6" w:rsidSect="007151C6">
          <w:headerReference w:type="default" r:id="rId11"/>
          <w:footerReference w:type="even" r:id="rId12"/>
          <w:footerReference w:type="default" r:id="rId13"/>
          <w:pgSz w:w="11906" w:h="16838"/>
          <w:pgMar w:top="1985" w:right="1440" w:bottom="1135" w:left="1440" w:header="708" w:footer="708" w:gutter="0"/>
          <w:cols w:space="708"/>
          <w:docGrid w:linePitch="360"/>
        </w:sectPr>
      </w:pPr>
      <w:r w:rsidRPr="00966934">
        <w:t>Some respondents believe</w:t>
      </w:r>
      <w:r>
        <w:t>d</w:t>
      </w:r>
      <w:r w:rsidRPr="00966934">
        <w:t xml:space="preserve"> the Review’s recommendations do not go far enough to bring the APS in-line with private sector organisations, while others cautioned against applying industry models to the APS. There were also comments echoing the Review’s findings of a risk averse culture and the</w:t>
      </w:r>
      <w:r>
        <w:t xml:space="preserve"> problems of </w:t>
      </w:r>
      <w:r w:rsidR="00916B31">
        <w:t>pulling</w:t>
      </w:r>
      <w:r>
        <w:t xml:space="preserve"> decision making higher up the chain than is necessary.</w:t>
      </w:r>
    </w:p>
    <w:p w14:paraId="3659BED7" w14:textId="055046C5" w:rsidR="00051C65" w:rsidRDefault="00051C65" w:rsidP="00051C65">
      <w:pPr>
        <w:spacing w:after="0"/>
      </w:pPr>
    </w:p>
    <w:p w14:paraId="49554F29" w14:textId="4F587333" w:rsidR="00051C65" w:rsidRDefault="006654A0" w:rsidP="00121B8B">
      <w:r>
        <w:rPr>
          <w:noProof/>
          <w:lang w:eastAsia="en-AU"/>
        </w:rPr>
        <w:drawing>
          <wp:inline distT="0" distB="0" distL="0" distR="0" wp14:anchorId="0F485913" wp14:editId="3BEDA818">
            <wp:extent cx="5895975" cy="2743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AAC987" w14:textId="77777777" w:rsidR="004074D5" w:rsidRPr="003A56D5" w:rsidRDefault="004074D5" w:rsidP="00D95370">
      <w:pPr>
        <w:spacing w:before="240" w:after="120"/>
        <w:rPr>
          <w:b/>
          <w:sz w:val="28"/>
          <w:szCs w:val="28"/>
        </w:rPr>
      </w:pPr>
      <w:r w:rsidRPr="003A56D5">
        <w:rPr>
          <w:b/>
          <w:sz w:val="28"/>
          <w:szCs w:val="28"/>
        </w:rPr>
        <w:t>Workshops</w:t>
      </w:r>
    </w:p>
    <w:p w14:paraId="6C610410" w14:textId="2816B3CD" w:rsidR="004074D5" w:rsidRPr="00966934" w:rsidRDefault="007411DB" w:rsidP="008103F6">
      <w:pPr>
        <w:spacing w:after="0"/>
      </w:pPr>
      <w:r w:rsidRPr="00966934">
        <w:t xml:space="preserve">A series of </w:t>
      </w:r>
      <w:r w:rsidRPr="00966934">
        <w:rPr>
          <w:b/>
        </w:rPr>
        <w:t>w</w:t>
      </w:r>
      <w:r w:rsidR="004074D5" w:rsidRPr="00966934">
        <w:rPr>
          <w:b/>
        </w:rPr>
        <w:t>orkshops</w:t>
      </w:r>
      <w:r w:rsidR="004074D5" w:rsidRPr="00966934">
        <w:t xml:space="preserve"> </w:t>
      </w:r>
      <w:r w:rsidR="0018100B" w:rsidRPr="00966934">
        <w:t xml:space="preserve">on culture, ways of working and the future APS were conducted </w:t>
      </w:r>
      <w:r w:rsidR="004074D5" w:rsidRPr="00966934">
        <w:t>with APS staff</w:t>
      </w:r>
      <w:r w:rsidR="00920EBE" w:rsidRPr="00966934">
        <w:t xml:space="preserve"> </w:t>
      </w:r>
      <w:r w:rsidR="006014CC">
        <w:t xml:space="preserve">in November 2022. These included people </w:t>
      </w:r>
      <w:r w:rsidR="00920EBE" w:rsidRPr="00966934">
        <w:t xml:space="preserve">from </w:t>
      </w:r>
      <w:r w:rsidR="000B1DE2" w:rsidRPr="00966934">
        <w:t>a range of</w:t>
      </w:r>
      <w:r w:rsidR="006014CC">
        <w:t xml:space="preserve"> locations, levels,</w:t>
      </w:r>
      <w:r w:rsidR="000B1DE2" w:rsidRPr="00966934">
        <w:t xml:space="preserve"> job families and APS </w:t>
      </w:r>
      <w:r w:rsidR="00920EBE" w:rsidRPr="00966934">
        <w:t>agencies</w:t>
      </w:r>
      <w:r w:rsidR="004074D5" w:rsidRPr="00966934">
        <w:t>.</w:t>
      </w:r>
      <w:r w:rsidR="0018100B" w:rsidRPr="00966934">
        <w:t xml:space="preserve"> Staff opted in through </w:t>
      </w:r>
      <w:r w:rsidR="006014CC">
        <w:t xml:space="preserve">an expression of interest </w:t>
      </w:r>
      <w:r w:rsidR="00EF027E">
        <w:t>form sent</w:t>
      </w:r>
      <w:r w:rsidR="006014CC">
        <w:t xml:space="preserve"> </w:t>
      </w:r>
      <w:r w:rsidR="006014CC" w:rsidRPr="00E22F0C">
        <w:t>to feedback form respondents</w:t>
      </w:r>
      <w:r w:rsidR="0018100B" w:rsidRPr="00E22F0C">
        <w:t>.</w:t>
      </w:r>
    </w:p>
    <w:p w14:paraId="60E5BF3A" w14:textId="77777777" w:rsidR="0018100B" w:rsidRPr="00966934" w:rsidRDefault="0018100B" w:rsidP="008103F6">
      <w:pPr>
        <w:spacing w:after="0"/>
      </w:pPr>
    </w:p>
    <w:p w14:paraId="19F96865" w14:textId="35A92239" w:rsidR="006014CC" w:rsidRDefault="0018100B" w:rsidP="008103F6">
      <w:pPr>
        <w:spacing w:after="0"/>
      </w:pPr>
      <w:r w:rsidRPr="00966934">
        <w:t>Workshop</w:t>
      </w:r>
      <w:r w:rsidR="006014CC">
        <w:t>s were held virtually, with</w:t>
      </w:r>
      <w:r w:rsidRPr="00966934">
        <w:t xml:space="preserve"> participants </w:t>
      </w:r>
      <w:r w:rsidR="00A43ED1">
        <w:t>developing</w:t>
      </w:r>
      <w:r w:rsidR="006014CC">
        <w:t xml:space="preserve"> practical solutions to three questions:</w:t>
      </w:r>
    </w:p>
    <w:p w14:paraId="6908CE78" w14:textId="77777777" w:rsidR="006014CC" w:rsidRDefault="006014CC" w:rsidP="001F1F1B">
      <w:pPr>
        <w:pStyle w:val="ListParagraph"/>
        <w:numPr>
          <w:ilvl w:val="0"/>
          <w:numId w:val="3"/>
        </w:numPr>
        <w:spacing w:after="0" w:line="240" w:lineRule="auto"/>
        <w:ind w:right="-755"/>
        <w:contextualSpacing w:val="0"/>
      </w:pPr>
      <w:r>
        <w:t>How might we empower staff to take initiative and try new things?</w:t>
      </w:r>
    </w:p>
    <w:p w14:paraId="11E5C8E2" w14:textId="77777777" w:rsidR="006014CC" w:rsidRDefault="006014CC" w:rsidP="001F1F1B">
      <w:pPr>
        <w:pStyle w:val="ListParagraph"/>
        <w:numPr>
          <w:ilvl w:val="0"/>
          <w:numId w:val="3"/>
        </w:numPr>
        <w:spacing w:after="0" w:line="240" w:lineRule="auto"/>
        <w:ind w:right="-755"/>
        <w:contextualSpacing w:val="0"/>
      </w:pPr>
      <w:r>
        <w:t>How might we reduce the clearance process and support staff to make decisions about their work?</w:t>
      </w:r>
    </w:p>
    <w:p w14:paraId="3758402C" w14:textId="77777777" w:rsidR="006014CC" w:rsidRDefault="006014CC" w:rsidP="001F1F1B">
      <w:pPr>
        <w:pStyle w:val="ListParagraph"/>
        <w:numPr>
          <w:ilvl w:val="0"/>
          <w:numId w:val="3"/>
        </w:numPr>
        <w:spacing w:after="0" w:line="240" w:lineRule="auto"/>
        <w:ind w:right="-755"/>
        <w:contextualSpacing w:val="0"/>
      </w:pPr>
      <w:r>
        <w:t>How might we bring the right people together to solve problems, regardless of their level?</w:t>
      </w:r>
    </w:p>
    <w:p w14:paraId="58B4EA5F" w14:textId="77777777" w:rsidR="006014CC" w:rsidRDefault="006014CC" w:rsidP="008103F6">
      <w:pPr>
        <w:spacing w:after="0"/>
      </w:pPr>
    </w:p>
    <w:p w14:paraId="0A5AD223" w14:textId="5C79463E" w:rsidR="00392099" w:rsidRPr="00966934" w:rsidRDefault="003303C9" w:rsidP="008103F6">
      <w:pPr>
        <w:spacing w:after="0"/>
      </w:pPr>
      <w:r w:rsidRPr="00966934">
        <w:t xml:space="preserve">The participants worked together to identify obstacles and devise practical solutions to becoming a better APS. </w:t>
      </w:r>
      <w:r w:rsidR="00BD4DCD" w:rsidRPr="00966934">
        <w:t>These</w:t>
      </w:r>
      <w:r w:rsidR="00392099" w:rsidRPr="00966934">
        <w:t xml:space="preserve"> ideas</w:t>
      </w:r>
      <w:r w:rsidR="00B217AB" w:rsidRPr="00966934">
        <w:t>, along with</w:t>
      </w:r>
      <w:r w:rsidR="00392099" w:rsidRPr="00966934">
        <w:t xml:space="preserve"> </w:t>
      </w:r>
      <w:r w:rsidR="00B217AB" w:rsidRPr="00966934">
        <w:t xml:space="preserve">the online feedback, </w:t>
      </w:r>
      <w:r w:rsidR="00966934">
        <w:t xml:space="preserve">have </w:t>
      </w:r>
      <w:r w:rsidR="00B217AB" w:rsidRPr="00966934">
        <w:t xml:space="preserve">enabled </w:t>
      </w:r>
      <w:r w:rsidR="00966934">
        <w:t xml:space="preserve">the APSC </w:t>
      </w:r>
      <w:r w:rsidR="00B217AB" w:rsidRPr="00966934">
        <w:t>to gain a stronger understanding of what</w:t>
      </w:r>
      <w:r w:rsidR="00A70DDD">
        <w:t xml:space="preserve"> working in better ways </w:t>
      </w:r>
      <w:r w:rsidR="003F4C31">
        <w:t xml:space="preserve">could </w:t>
      </w:r>
      <w:r w:rsidR="00AE0749">
        <w:t>look like for APS staff, and how it can become normal practice in the APS.</w:t>
      </w:r>
      <w:r w:rsidR="00D601FD">
        <w:t xml:space="preserve"> This will feed into advice to agencies in mid-2023. </w:t>
      </w:r>
      <w:r w:rsidR="00B217AB" w:rsidRPr="00966934">
        <w:t xml:space="preserve"> </w:t>
      </w:r>
    </w:p>
    <w:p w14:paraId="797BB756" w14:textId="77777777" w:rsidR="003303C9" w:rsidRPr="003A56D5" w:rsidRDefault="0081560B" w:rsidP="00D95370">
      <w:pPr>
        <w:spacing w:before="240" w:after="120"/>
        <w:rPr>
          <w:b/>
          <w:sz w:val="28"/>
          <w:szCs w:val="28"/>
        </w:rPr>
      </w:pPr>
      <w:r w:rsidRPr="003A56D5">
        <w:rPr>
          <w:b/>
          <w:sz w:val="28"/>
          <w:szCs w:val="28"/>
        </w:rPr>
        <w:t>W</w:t>
      </w:r>
      <w:r w:rsidR="00D94D24" w:rsidRPr="003A56D5">
        <w:rPr>
          <w:b/>
          <w:sz w:val="28"/>
          <w:szCs w:val="28"/>
        </w:rPr>
        <w:t>hat next</w:t>
      </w:r>
      <w:r w:rsidRPr="003A56D5">
        <w:rPr>
          <w:b/>
          <w:sz w:val="28"/>
          <w:szCs w:val="28"/>
        </w:rPr>
        <w:t>?</w:t>
      </w:r>
    </w:p>
    <w:p w14:paraId="0C38AFF5" w14:textId="090DC78E" w:rsidR="0081560B" w:rsidRPr="00966934" w:rsidRDefault="00392099" w:rsidP="008103F6">
      <w:pPr>
        <w:spacing w:after="0"/>
      </w:pPr>
      <w:r w:rsidRPr="00966934">
        <w:t xml:space="preserve">In </w:t>
      </w:r>
      <w:r w:rsidRPr="00966934">
        <w:rPr>
          <w:b/>
        </w:rPr>
        <w:t>early 2023</w:t>
      </w:r>
      <w:r w:rsidRPr="00966934">
        <w:t xml:space="preserve"> </w:t>
      </w:r>
      <w:r w:rsidR="00697959">
        <w:t xml:space="preserve">input will be sought from </w:t>
      </w:r>
      <w:r w:rsidRPr="00966934">
        <w:t xml:space="preserve">APS staff and agencies on </w:t>
      </w:r>
      <w:r w:rsidRPr="00966934">
        <w:rPr>
          <w:b/>
        </w:rPr>
        <w:t>specialist arrangements</w:t>
      </w:r>
      <w:r w:rsidR="00E636C1">
        <w:rPr>
          <w:b/>
        </w:rPr>
        <w:t xml:space="preserve">. </w:t>
      </w:r>
      <w:r w:rsidR="00E636C1" w:rsidRPr="002F58CA">
        <w:t xml:space="preserve">This will </w:t>
      </w:r>
      <w:r w:rsidR="00931A93" w:rsidRPr="00931A93">
        <w:t>inform work by the Future of Work Sub-</w:t>
      </w:r>
      <w:r w:rsidR="00931A93">
        <w:t>Co</w:t>
      </w:r>
      <w:r w:rsidR="00931A93" w:rsidRPr="00931A93">
        <w:t>mmittee of Secretaries Board on</w:t>
      </w:r>
      <w:r w:rsidR="00BE100B">
        <w:t xml:space="preserve"> how the APS can attract and retain the skills it needs now and into the future. </w:t>
      </w:r>
    </w:p>
    <w:p w14:paraId="75C2EE6B" w14:textId="77777777" w:rsidR="00392099" w:rsidRPr="00966934" w:rsidRDefault="00392099" w:rsidP="008103F6">
      <w:pPr>
        <w:spacing w:after="0"/>
      </w:pPr>
    </w:p>
    <w:p w14:paraId="52416359" w14:textId="564241D8" w:rsidR="000234D2" w:rsidRPr="00966934" w:rsidRDefault="00392099" w:rsidP="000234D2">
      <w:pPr>
        <w:spacing w:after="0"/>
      </w:pPr>
      <w:r w:rsidRPr="00966934">
        <w:t xml:space="preserve">In </w:t>
      </w:r>
      <w:r w:rsidRPr="00966934">
        <w:rPr>
          <w:b/>
        </w:rPr>
        <w:t>mid-2023</w:t>
      </w:r>
      <w:r w:rsidRPr="00966934">
        <w:t xml:space="preserve"> </w:t>
      </w:r>
      <w:r w:rsidR="000234D2" w:rsidRPr="00966934">
        <w:t xml:space="preserve">Secretaries </w:t>
      </w:r>
      <w:r w:rsidR="00E636C1">
        <w:t xml:space="preserve">will </w:t>
      </w:r>
      <w:r w:rsidR="000234D2" w:rsidRPr="00E04DED">
        <w:t>consider updated guidance</w:t>
      </w:r>
      <w:r w:rsidR="000234D2" w:rsidRPr="00966934">
        <w:t xml:space="preserve"> on</w:t>
      </w:r>
      <w:r w:rsidR="000234D2" w:rsidRPr="00966934">
        <w:rPr>
          <w:b/>
        </w:rPr>
        <w:t xml:space="preserve"> optimal management structures, ways of working and specialist arrangements</w:t>
      </w:r>
      <w:r w:rsidR="003B2317">
        <w:rPr>
          <w:b/>
        </w:rPr>
        <w:t xml:space="preserve"> </w:t>
      </w:r>
      <w:r w:rsidR="003B2317" w:rsidRPr="00FD15C5">
        <w:t xml:space="preserve">and </w:t>
      </w:r>
      <w:r w:rsidR="00FD15C5">
        <w:t>discuss</w:t>
      </w:r>
      <w:r w:rsidR="003B2317" w:rsidRPr="00FD15C5">
        <w:t xml:space="preserve"> implementation</w:t>
      </w:r>
      <w:r w:rsidR="00121B8B" w:rsidRPr="00966934">
        <w:t xml:space="preserve">. </w:t>
      </w:r>
    </w:p>
    <w:p w14:paraId="5C6BB647" w14:textId="45618C3A" w:rsidR="002F58CA" w:rsidRDefault="002F58CA" w:rsidP="008103F6">
      <w:pPr>
        <w:spacing w:after="0"/>
      </w:pPr>
      <w:bookmarkStart w:id="0" w:name="_GoBack"/>
      <w:bookmarkEnd w:id="0"/>
    </w:p>
    <w:p w14:paraId="4A4D6423" w14:textId="24E38198" w:rsidR="00B0486A" w:rsidRDefault="00B0486A" w:rsidP="008103F6">
      <w:pPr>
        <w:spacing w:after="0"/>
      </w:pPr>
      <w:r w:rsidRPr="00B0486A">
        <w:t xml:space="preserve">The APS Academy will be piloting a new approach in 2023 to developing </w:t>
      </w:r>
      <w:r w:rsidRPr="00B0486A">
        <w:rPr>
          <w:b/>
        </w:rPr>
        <w:t>manager capability</w:t>
      </w:r>
      <w:r>
        <w:t>. The focus will be on two</w:t>
      </w:r>
      <w:r w:rsidRPr="00B0486A">
        <w:t xml:space="preserve"> segments of the EL2 cohort - new to role </w:t>
      </w:r>
      <w:r>
        <w:t>EL2s (s</w:t>
      </w:r>
      <w:r w:rsidRPr="00B0486A">
        <w:t>tarting-out) and EL2s transitioning to SES Band 1 (</w:t>
      </w:r>
      <w:r>
        <w:t>s</w:t>
      </w:r>
      <w:r w:rsidRPr="00B0486A">
        <w:t>tepping-up).</w:t>
      </w:r>
    </w:p>
    <w:p w14:paraId="2A0C9F49" w14:textId="77777777" w:rsidR="00B0486A" w:rsidRDefault="00B0486A" w:rsidP="008103F6">
      <w:pPr>
        <w:spacing w:after="0"/>
      </w:pPr>
    </w:p>
    <w:p w14:paraId="5228051F" w14:textId="2D76975B" w:rsidR="002F58CA" w:rsidRPr="00966934" w:rsidRDefault="002F58CA" w:rsidP="008103F6">
      <w:pPr>
        <w:spacing w:after="0"/>
      </w:pPr>
      <w:r>
        <w:t xml:space="preserve">You can keep track of progress via the </w:t>
      </w:r>
      <w:hyperlink r:id="rId15" w:history="1">
        <w:r w:rsidR="00E22F0C" w:rsidRPr="00E22F0C">
          <w:rPr>
            <w:rStyle w:val="Hyperlink"/>
          </w:rPr>
          <w:t>APSC website</w:t>
        </w:r>
      </w:hyperlink>
      <w:r>
        <w:t>.</w:t>
      </w:r>
    </w:p>
    <w:sectPr w:rsidR="002F58CA" w:rsidRPr="00966934" w:rsidSect="007151C6">
      <w:headerReference w:type="even" r:id="rId16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E7F1" w14:textId="77777777" w:rsidR="00933929" w:rsidRDefault="00933929" w:rsidP="004F69F4">
      <w:pPr>
        <w:spacing w:after="0" w:line="240" w:lineRule="auto"/>
      </w:pPr>
      <w:r>
        <w:separator/>
      </w:r>
    </w:p>
  </w:endnote>
  <w:endnote w:type="continuationSeparator" w:id="0">
    <w:p w14:paraId="506922F9" w14:textId="77777777" w:rsidR="00933929" w:rsidRDefault="00933929" w:rsidP="004F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390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4873C" w14:textId="68C96F77" w:rsidR="004F69F4" w:rsidRDefault="004F69F4" w:rsidP="004F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00E1F" w14:textId="77777777" w:rsidR="004F69F4" w:rsidRDefault="004F6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5E8B" w14:textId="6F545E56" w:rsidR="004F69F4" w:rsidRDefault="004F69F4" w:rsidP="004F69F4">
    <w:pPr>
      <w:pStyle w:val="Footer"/>
      <w:jc w:val="center"/>
    </w:pPr>
  </w:p>
  <w:p w14:paraId="44631763" w14:textId="77777777" w:rsidR="004F69F4" w:rsidRDefault="004F69F4" w:rsidP="004F69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AE14" w14:textId="77777777" w:rsidR="00933929" w:rsidRDefault="00933929" w:rsidP="004F69F4">
      <w:pPr>
        <w:spacing w:after="0" w:line="240" w:lineRule="auto"/>
      </w:pPr>
      <w:r>
        <w:separator/>
      </w:r>
    </w:p>
  </w:footnote>
  <w:footnote w:type="continuationSeparator" w:id="0">
    <w:p w14:paraId="57084817" w14:textId="77777777" w:rsidR="00933929" w:rsidRDefault="00933929" w:rsidP="004F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28AA" w14:textId="6A709C00" w:rsidR="004F69F4" w:rsidRDefault="004F69F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B848DD7" wp14:editId="4C23F554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5731510" cy="934085"/>
          <wp:effectExtent l="0" t="0" r="2540" b="0"/>
          <wp:wrapNone/>
          <wp:docPr id="12" name="Picture 12" descr="APSC Word header wi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SC Word header wi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3910" w14:textId="77777777" w:rsidR="007151C6" w:rsidRDefault="00715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2887"/>
    <w:multiLevelType w:val="hybridMultilevel"/>
    <w:tmpl w:val="0D4C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A93"/>
    <w:multiLevelType w:val="hybridMultilevel"/>
    <w:tmpl w:val="0F50DF7E"/>
    <w:lvl w:ilvl="0" w:tplc="CF4AE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4690"/>
    <w:multiLevelType w:val="hybridMultilevel"/>
    <w:tmpl w:val="6548DC14"/>
    <w:lvl w:ilvl="0" w:tplc="8700AC34">
      <w:start w:val="1"/>
      <w:numFmt w:val="bullet"/>
      <w:pStyle w:val="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E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F6"/>
    <w:rsid w:val="000234D2"/>
    <w:rsid w:val="00051C65"/>
    <w:rsid w:val="00073407"/>
    <w:rsid w:val="000B1DE2"/>
    <w:rsid w:val="0011636E"/>
    <w:rsid w:val="00121B8B"/>
    <w:rsid w:val="0018100B"/>
    <w:rsid w:val="00183C3B"/>
    <w:rsid w:val="00195AEE"/>
    <w:rsid w:val="001E5C8A"/>
    <w:rsid w:val="001F1F1B"/>
    <w:rsid w:val="001F5793"/>
    <w:rsid w:val="00232624"/>
    <w:rsid w:val="00244A38"/>
    <w:rsid w:val="002D7FBF"/>
    <w:rsid w:val="002E0E9B"/>
    <w:rsid w:val="002F58CA"/>
    <w:rsid w:val="003021FB"/>
    <w:rsid w:val="0030373A"/>
    <w:rsid w:val="0031207C"/>
    <w:rsid w:val="00316B3C"/>
    <w:rsid w:val="003266F6"/>
    <w:rsid w:val="003303C9"/>
    <w:rsid w:val="00334FAB"/>
    <w:rsid w:val="0034359F"/>
    <w:rsid w:val="00365AD3"/>
    <w:rsid w:val="00372FEB"/>
    <w:rsid w:val="00392099"/>
    <w:rsid w:val="003A0185"/>
    <w:rsid w:val="003A47B2"/>
    <w:rsid w:val="003A56D5"/>
    <w:rsid w:val="003B2317"/>
    <w:rsid w:val="003D1BF1"/>
    <w:rsid w:val="003F14CF"/>
    <w:rsid w:val="003F4C31"/>
    <w:rsid w:val="004074D5"/>
    <w:rsid w:val="00483284"/>
    <w:rsid w:val="004B76BA"/>
    <w:rsid w:val="004C14D2"/>
    <w:rsid w:val="004C711F"/>
    <w:rsid w:val="004E1A3F"/>
    <w:rsid w:val="004E6909"/>
    <w:rsid w:val="004F5EC3"/>
    <w:rsid w:val="004F69F4"/>
    <w:rsid w:val="005049D0"/>
    <w:rsid w:val="00551C2F"/>
    <w:rsid w:val="00576296"/>
    <w:rsid w:val="00594D9C"/>
    <w:rsid w:val="005A4C26"/>
    <w:rsid w:val="006014CC"/>
    <w:rsid w:val="00640339"/>
    <w:rsid w:val="006654A0"/>
    <w:rsid w:val="00697959"/>
    <w:rsid w:val="006A4E76"/>
    <w:rsid w:val="006B7D99"/>
    <w:rsid w:val="006C49D3"/>
    <w:rsid w:val="007151C6"/>
    <w:rsid w:val="007411DB"/>
    <w:rsid w:val="0077164B"/>
    <w:rsid w:val="007B75C6"/>
    <w:rsid w:val="00804022"/>
    <w:rsid w:val="008103F6"/>
    <w:rsid w:val="0081560B"/>
    <w:rsid w:val="00842877"/>
    <w:rsid w:val="008A1A02"/>
    <w:rsid w:val="008B330B"/>
    <w:rsid w:val="008C74ED"/>
    <w:rsid w:val="008E22EA"/>
    <w:rsid w:val="008E5419"/>
    <w:rsid w:val="0090058E"/>
    <w:rsid w:val="0090351B"/>
    <w:rsid w:val="0091022D"/>
    <w:rsid w:val="00916B31"/>
    <w:rsid w:val="00920EBE"/>
    <w:rsid w:val="00931A93"/>
    <w:rsid w:val="00933929"/>
    <w:rsid w:val="0095032D"/>
    <w:rsid w:val="00966934"/>
    <w:rsid w:val="00967406"/>
    <w:rsid w:val="009C0791"/>
    <w:rsid w:val="009D78B5"/>
    <w:rsid w:val="00A02E7A"/>
    <w:rsid w:val="00A065B1"/>
    <w:rsid w:val="00A07AD9"/>
    <w:rsid w:val="00A2288B"/>
    <w:rsid w:val="00A43ED1"/>
    <w:rsid w:val="00A70DDD"/>
    <w:rsid w:val="00AD3A7F"/>
    <w:rsid w:val="00AE0749"/>
    <w:rsid w:val="00B0486A"/>
    <w:rsid w:val="00B217AB"/>
    <w:rsid w:val="00B96C5C"/>
    <w:rsid w:val="00BD4DCD"/>
    <w:rsid w:val="00BE100B"/>
    <w:rsid w:val="00C120B6"/>
    <w:rsid w:val="00C53281"/>
    <w:rsid w:val="00CC22B1"/>
    <w:rsid w:val="00CD7B49"/>
    <w:rsid w:val="00CF4668"/>
    <w:rsid w:val="00D601FD"/>
    <w:rsid w:val="00D94D24"/>
    <w:rsid w:val="00D95370"/>
    <w:rsid w:val="00DC193F"/>
    <w:rsid w:val="00E04DED"/>
    <w:rsid w:val="00E05826"/>
    <w:rsid w:val="00E22F0C"/>
    <w:rsid w:val="00E60252"/>
    <w:rsid w:val="00E636C1"/>
    <w:rsid w:val="00E82CC6"/>
    <w:rsid w:val="00E93478"/>
    <w:rsid w:val="00EE120A"/>
    <w:rsid w:val="00EF027E"/>
    <w:rsid w:val="00F4451E"/>
    <w:rsid w:val="00F54E4B"/>
    <w:rsid w:val="00F60820"/>
    <w:rsid w:val="00F616D9"/>
    <w:rsid w:val="00F617FD"/>
    <w:rsid w:val="00F61842"/>
    <w:rsid w:val="00F87D7A"/>
    <w:rsid w:val="00FD15C5"/>
    <w:rsid w:val="00FD5C6D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4992"/>
  <w15:chartTrackingRefBased/>
  <w15:docId w15:val="{4A928E4D-66A2-48AF-9C28-4DB80CCB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ListParagraph"/>
    <w:link w:val="NumberedlistChar"/>
    <w:autoRedefine/>
    <w:qFormat/>
    <w:rsid w:val="0018100B"/>
    <w:pPr>
      <w:numPr>
        <w:numId w:val="1"/>
      </w:numPr>
      <w:spacing w:after="120" w:line="240" w:lineRule="auto"/>
    </w:pPr>
    <w:rPr>
      <w:rFonts w:cstheme="minorHAnsi"/>
      <w:sz w:val="32"/>
      <w:szCs w:val="32"/>
      <w:lang w:eastAsia="en-AU"/>
    </w:rPr>
  </w:style>
  <w:style w:type="character" w:customStyle="1" w:styleId="NumberedlistChar">
    <w:name w:val="Numbered list Char"/>
    <w:basedOn w:val="DefaultParagraphFont"/>
    <w:link w:val="Numberedlist"/>
    <w:rsid w:val="0018100B"/>
    <w:rPr>
      <w:rFonts w:cstheme="minorHAnsi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181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D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F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F4"/>
  </w:style>
  <w:style w:type="paragraph" w:styleId="Footer">
    <w:name w:val="footer"/>
    <w:basedOn w:val="Normal"/>
    <w:link w:val="FooterChar"/>
    <w:uiPriority w:val="99"/>
    <w:unhideWhenUsed/>
    <w:rsid w:val="004F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psc.gov.au/initiatives-and-programs/workforce-information/aps-hierarchy-and-classification-review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psc-share.internal.pmc.gov.au/teams/ahcrt/psccommunityrel/Communications%20planning/Report%20release/Feedback%20form/H&amp;C%20Feedback%20form%20regist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 b="1"/>
              <a:t>Themes</a:t>
            </a:r>
            <a:r>
              <a:rPr lang="en-US" sz="1050" b="1" baseline="0"/>
              <a:t> raised by people responding to the H&amp;C Review findings</a:t>
            </a:r>
            <a:endParaRPr lang="en-US" sz="1050" b="1"/>
          </a:p>
        </c:rich>
      </c:tx>
      <c:layout>
        <c:manualLayout>
          <c:xMode val="edge"/>
          <c:yMode val="edge"/>
          <c:x val="0.21002310898536714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Calc!$C$35</c:f>
              <c:strCache>
                <c:ptCount val="1"/>
                <c:pt idx="0">
                  <c:v>% of respondants</c:v>
                </c:pt>
              </c:strCache>
            </c:strRef>
          </c:tx>
          <c:spPr>
            <a:solidFill>
              <a:srgbClr val="009999"/>
            </a:solidFill>
            <a:ln>
              <a:noFill/>
            </a:ln>
            <a:effectLst/>
          </c:spPr>
          <c:invertIfNegative val="0"/>
          <c:cat>
            <c:strRef>
              <c:f>Calc!$B$36:$B$45</c:f>
              <c:strCache>
                <c:ptCount val="10"/>
                <c:pt idx="1">
                  <c:v>Specialists</c:v>
                </c:pt>
                <c:pt idx="2">
                  <c:v>Leadership</c:v>
                </c:pt>
                <c:pt idx="3">
                  <c:v>Getting the basics right</c:v>
                </c:pt>
                <c:pt idx="4">
                  <c:v>Empowering staff</c:v>
                </c:pt>
                <c:pt idx="5">
                  <c:v>Classifications</c:v>
                </c:pt>
                <c:pt idx="6">
                  <c:v>Descriptive titles</c:v>
                </c:pt>
                <c:pt idx="7">
                  <c:v>Pay</c:v>
                </c:pt>
                <c:pt idx="8">
                  <c:v>Flatter structures</c:v>
                </c:pt>
                <c:pt idx="9">
                  <c:v>Modernising the APS</c:v>
                </c:pt>
              </c:strCache>
            </c:strRef>
          </c:cat>
          <c:val>
            <c:numRef>
              <c:f>Calc!$C$36:$C$45</c:f>
              <c:numCache>
                <c:formatCode>0%</c:formatCode>
                <c:ptCount val="10"/>
                <c:pt idx="1">
                  <c:v>0.25641025641025639</c:v>
                </c:pt>
                <c:pt idx="2">
                  <c:v>0.23443223443223443</c:v>
                </c:pt>
                <c:pt idx="3">
                  <c:v>0.1575091575091575</c:v>
                </c:pt>
                <c:pt idx="4">
                  <c:v>0.15384615384615385</c:v>
                </c:pt>
                <c:pt idx="5">
                  <c:v>0.14652014652014653</c:v>
                </c:pt>
                <c:pt idx="6">
                  <c:v>0.13553113553113552</c:v>
                </c:pt>
                <c:pt idx="7">
                  <c:v>0.12454212454212454</c:v>
                </c:pt>
                <c:pt idx="8">
                  <c:v>8.4249084249084255E-2</c:v>
                </c:pt>
                <c:pt idx="9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B-4959-A077-CCDA62DA5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1637800"/>
        <c:axId val="571638128"/>
      </c:barChart>
      <c:catAx>
        <c:axId val="571637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638128"/>
        <c:crosses val="autoZero"/>
        <c:auto val="1"/>
        <c:lblAlgn val="ctr"/>
        <c:lblOffset val="100"/>
        <c:noMultiLvlLbl val="0"/>
      </c:catAx>
      <c:valAx>
        <c:axId val="571638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Percentage</a:t>
                </a:r>
                <a:r>
                  <a:rPr lang="en-AU" baseline="0"/>
                  <a:t> of respondants who raised each theme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63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e65e2a05-6a6a-4d6b-8300-427ae0c15b31">
      <Terms xmlns="http://schemas.microsoft.com/office/infopath/2007/PartnerControls"/>
    </jd1c641577414dfdab1686c9d5d0dbd0>
    <TaxCatchAll xmlns="e65e2a05-6a6a-4d6b-8300-427ae0c15b31"/>
    <mc5611b894cf49d8aeeb8ebf39dc09bc xmlns="e65e2a05-6a6a-4d6b-8300-427ae0c15b31">
      <Terms xmlns="http://schemas.microsoft.com/office/infopath/2007/PartnerControls"/>
    </mc5611b894cf49d8aeeb8ebf39dc09bc>
    <NonRecordJustification xmlns="685f9fda-bd71-4433-b331-92feb9553089" xsi:nil="true"/>
    <PMCNotes xmlns="e65e2a05-6a6a-4d6b-8300-427ae0c15b31" xsi:nil="true"/>
    <ShareHubID xmlns="e65e2a05-6a6a-4d6b-8300-427ae0c15b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71B3229F7AE8874D83A41601CE0E2A1F" ma:contentTypeVersion="4" ma:contentTypeDescription="ShareHub Document" ma:contentTypeScope="" ma:versionID="da01d3bf06b8b679e02708bedf0642f2">
  <xsd:schema xmlns:xsd="http://www.w3.org/2001/XMLSchema" xmlns:xs="http://www.w3.org/2001/XMLSchema" xmlns:p="http://schemas.microsoft.com/office/2006/metadata/properties" xmlns:ns1="e65e2a05-6a6a-4d6b-8300-427ae0c15b31" xmlns:ns3="685f9fda-bd71-4433-b331-92feb9553089" targetNamespace="http://schemas.microsoft.com/office/2006/metadata/properties" ma:root="true" ma:fieldsID="3efd5bf2af8a99b59fb7b436198f844e" ns1:_="" ns3:_="">
    <xsd:import namespace="e65e2a05-6a6a-4d6b-8300-427ae0c15b3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e2a05-6a6a-4d6b-8300-427ae0c15b3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6bfe83-4b24-48aa-8b3e-3f24090f1012}" ma:internalName="TaxCatchAll" ma:showField="CatchAllData" ma:web="e65e2a05-6a6a-4d6b-8300-427ae0c15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6bfe83-4b24-48aa-8b3e-3f24090f1012}" ma:internalName="TaxCatchAllLabel" ma:readOnly="true" ma:showField="CatchAllDataLabel" ma:web="e65e2a05-6a6a-4d6b-8300-427ae0c15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C88A-329D-47FE-8778-2857D6C8C21E}">
  <ds:schemaRefs>
    <ds:schemaRef ds:uri="http://schemas.microsoft.com/office/2006/metadata/properties"/>
    <ds:schemaRef ds:uri="http://schemas.microsoft.com/office/infopath/2007/PartnerControls"/>
    <ds:schemaRef ds:uri="e65e2a05-6a6a-4d6b-8300-427ae0c15b31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143B1B35-9891-435B-AB36-67DA28BB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e2a05-6a6a-4d6b-8300-427ae0c15b3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CFDA5-D849-499D-8032-4F621F8F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FBCEB-4263-449C-8E24-FC5D8E78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Daniel</dc:creator>
  <cp:keywords/>
  <dc:description/>
  <cp:lastModifiedBy>Stanton, Mali</cp:lastModifiedBy>
  <cp:revision>9</cp:revision>
  <dcterms:created xsi:type="dcterms:W3CDTF">2022-12-21T02:00:00Z</dcterms:created>
  <dcterms:modified xsi:type="dcterms:W3CDTF">2022-12-21T22:44:00Z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0x0101002825A64A6E1845A99A9D8EE8A5686ECB0071B3229F7AE8874D83A41601CE0E2A1F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