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1CC18" w14:textId="133D0391" w:rsidR="000D4845" w:rsidRDefault="002C29D0">
      <w:r>
        <w:rPr>
          <w:noProof/>
        </w:rPr>
        <w:drawing>
          <wp:anchor distT="0" distB="0" distL="114300" distR="114300" simplePos="0" relativeHeight="251660800" behindDoc="1" locked="0" layoutInCell="1" allowOverlap="1" wp14:anchorId="2264520A" wp14:editId="423785C1">
            <wp:simplePos x="0" y="0"/>
            <wp:positionH relativeFrom="column">
              <wp:posOffset>-521912</wp:posOffset>
            </wp:positionH>
            <wp:positionV relativeFrom="paragraph">
              <wp:posOffset>-1080771</wp:posOffset>
            </wp:positionV>
            <wp:extent cx="7565166" cy="10704945"/>
            <wp:effectExtent l="0" t="0" r="444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6149" cy="10706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79F" w:rsidRPr="000D4845">
        <w:rPr>
          <w:noProof/>
          <w:sz w:val="72"/>
        </w:rPr>
        <w:drawing>
          <wp:anchor distT="0" distB="0" distL="114300" distR="114300" simplePos="0" relativeHeight="251659776" behindDoc="1" locked="0" layoutInCell="1" allowOverlap="1" wp14:anchorId="66C42332" wp14:editId="2B4BE0C1">
            <wp:simplePos x="0" y="0"/>
            <wp:positionH relativeFrom="margin">
              <wp:posOffset>138776</wp:posOffset>
            </wp:positionH>
            <wp:positionV relativeFrom="topMargin">
              <wp:posOffset>729615</wp:posOffset>
            </wp:positionV>
            <wp:extent cx="2520000" cy="464400"/>
            <wp:effectExtent l="0" t="0" r="0" b="0"/>
            <wp:wrapTight wrapText="bothSides">
              <wp:wrapPolygon edited="0">
                <wp:start x="2123" y="0"/>
                <wp:lineTo x="0" y="1773"/>
                <wp:lineTo x="0" y="17729"/>
                <wp:lineTo x="1633" y="20389"/>
                <wp:lineTo x="3593" y="20389"/>
                <wp:lineTo x="21393" y="20389"/>
                <wp:lineTo x="21393" y="7978"/>
                <wp:lineTo x="3103" y="0"/>
                <wp:lineTo x="212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board 3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F633F" w14:textId="380A8B41" w:rsidR="000D4845" w:rsidRDefault="000D4845" w:rsidP="000D4845">
      <w:pPr>
        <w:pStyle w:val="Title"/>
        <w:rPr>
          <w:sz w:val="72"/>
        </w:rPr>
      </w:pPr>
      <w:r w:rsidRPr="000D4845">
        <w:rPr>
          <w:noProof/>
          <w:sz w:val="72"/>
        </w:rPr>
        <mc:AlternateContent>
          <mc:Choice Requires="wps">
            <w:drawing>
              <wp:anchor distT="45720" distB="45720" distL="114300" distR="114300" simplePos="0" relativeHeight="251657728" behindDoc="0" locked="1" layoutInCell="1" allowOverlap="1" wp14:anchorId="728BDABF" wp14:editId="4AB7A3C8">
                <wp:simplePos x="0" y="0"/>
                <wp:positionH relativeFrom="margin">
                  <wp:posOffset>-635</wp:posOffset>
                </wp:positionH>
                <wp:positionV relativeFrom="margin">
                  <wp:align>top</wp:align>
                </wp:positionV>
                <wp:extent cx="4458335" cy="360000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36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F0F5" w14:textId="163931C2" w:rsidR="000D4845" w:rsidRPr="004257B4" w:rsidRDefault="00F9308A" w:rsidP="000D4845">
                            <w:pPr>
                              <w:pStyle w:val="Title"/>
                              <w:rPr>
                                <w:rStyle w:val="Title-Secondline"/>
                              </w:rPr>
                            </w:pPr>
                            <w:r>
                              <w:rPr>
                                <w:sz w:val="96"/>
                              </w:rPr>
                              <w:t>APS</w:t>
                            </w:r>
                            <w:r w:rsidR="000D4845" w:rsidRPr="004257B4">
                              <w:rPr>
                                <w:b/>
                                <w:sz w:val="96"/>
                              </w:rPr>
                              <w:t xml:space="preserve"> </w:t>
                            </w:r>
                            <w:r w:rsidRPr="00DA0107">
                              <w:rPr>
                                <w:rStyle w:val="Title-Secondline"/>
                              </w:rPr>
                              <w:t>bargaining</w:t>
                            </w:r>
                          </w:p>
                          <w:p w14:paraId="2501CD6F" w14:textId="5397C5E5" w:rsidR="000D4845" w:rsidRPr="000D4845" w:rsidRDefault="008926FC" w:rsidP="000D4845">
                            <w:pPr>
                              <w:pStyle w:val="Subtitle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Focus group consultation findings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BDA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0;width:351.05pt;height:283.45pt;z-index:251657728;visibility:visible;mso-wrap-style:square;mso-width-percent:50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5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" filled="f" stroked="f">
                <v:textbox>
                  <w:txbxContent>
                    <w:p w14:paraId="4DADF0F5" w14:textId="163931C2" w:rsidR="000D4845" w:rsidRPr="004257B4" w:rsidRDefault="00F9308A" w:rsidP="000D4845">
                      <w:pPr>
                        <w:pStyle w:val="Title"/>
                        <w:rPr>
                          <w:rStyle w:val="Title-Secondline"/>
                        </w:rPr>
                      </w:pPr>
                      <w:r>
                        <w:rPr>
                          <w:sz w:val="96"/>
                        </w:rPr>
                        <w:t>APS</w:t>
                      </w:r>
                      <w:r w:rsidR="000D4845" w:rsidRPr="004257B4">
                        <w:rPr>
                          <w:b/>
                          <w:sz w:val="96"/>
                        </w:rPr>
                        <w:t xml:space="preserve"> </w:t>
                      </w:r>
                      <w:r w:rsidRPr="00DA0107">
                        <w:rPr>
                          <w:rStyle w:val="Title-Secondline"/>
                        </w:rPr>
                        <w:t>bargaining</w:t>
                      </w:r>
                    </w:p>
                    <w:p w14:paraId="2501CD6F" w14:textId="5397C5E5" w:rsidR="000D4845" w:rsidRPr="000D4845" w:rsidRDefault="008926FC" w:rsidP="000D4845">
                      <w:pPr>
                        <w:pStyle w:val="Subtitle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Focus group consultation findings 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dt>
      <w:sdtPr>
        <w:rPr>
          <w:sz w:val="72"/>
        </w:rPr>
        <w:id w:val="451759755"/>
        <w:docPartObj>
          <w:docPartGallery w:val="Cover Pages"/>
          <w:docPartUnique/>
        </w:docPartObj>
      </w:sdtPr>
      <w:sdtEndPr>
        <w:rPr>
          <w:sz w:val="52"/>
        </w:rPr>
      </w:sdtEndPr>
      <w:sdtContent>
        <w:p w14:paraId="3FCF605F" w14:textId="106532E7" w:rsidR="00EF0A26" w:rsidRPr="000D4845" w:rsidRDefault="00EF0A26" w:rsidP="000D4845">
          <w:pPr>
            <w:pStyle w:val="Title"/>
            <w:rPr>
              <w:b/>
              <w:sz w:val="72"/>
            </w:rPr>
          </w:pPr>
          <w:r>
            <w:br w:type="page"/>
          </w:r>
        </w:p>
      </w:sdtContent>
    </w:sdt>
    <w:p w14:paraId="11B0F95A" w14:textId="6A6A0D0A" w:rsidR="00A33DE3" w:rsidRDefault="008926FC" w:rsidP="00A33DE3">
      <w:pPr>
        <w:pStyle w:val="Heading1"/>
      </w:pPr>
      <w:r>
        <w:lastRenderedPageBreak/>
        <w:t xml:space="preserve">Focus group consultation </w:t>
      </w:r>
    </w:p>
    <w:p w14:paraId="15A4CD49" w14:textId="77777777" w:rsidR="005D1CB5" w:rsidRDefault="005D1CB5" w:rsidP="008A52FE">
      <w:pPr>
        <w:pStyle w:val="Bulletedtext"/>
        <w:numPr>
          <w:ilvl w:val="0"/>
          <w:numId w:val="0"/>
        </w:numPr>
        <w:spacing w:after="240"/>
        <w:ind w:right="2266"/>
      </w:pPr>
    </w:p>
    <w:p w14:paraId="4C95A868" w14:textId="7C564BBF" w:rsidR="008A52FE" w:rsidRPr="008A52FE" w:rsidRDefault="008A52FE" w:rsidP="00C4140A">
      <w:pPr>
        <w:pStyle w:val="Bulletedtext"/>
        <w:numPr>
          <w:ilvl w:val="0"/>
          <w:numId w:val="0"/>
        </w:numPr>
        <w:spacing w:after="240"/>
        <w:ind w:right="-2"/>
      </w:pPr>
      <w:r w:rsidRPr="008A52FE">
        <w:t xml:space="preserve">A core element of the </w:t>
      </w:r>
      <w:r>
        <w:t xml:space="preserve">Australian </w:t>
      </w:r>
      <w:r w:rsidRPr="008A52FE">
        <w:t>Government’s election platform was ensuring the A</w:t>
      </w:r>
      <w:r>
        <w:t xml:space="preserve">ustralian Public Service (APS) </w:t>
      </w:r>
      <w:r w:rsidRPr="008A52FE">
        <w:t xml:space="preserve">continues to be a </w:t>
      </w:r>
      <w:r w:rsidRPr="008A52FE">
        <w:rPr>
          <w:b/>
        </w:rPr>
        <w:t>model employer</w:t>
      </w:r>
      <w:r w:rsidRPr="008A52FE">
        <w:t xml:space="preserve"> by providing working conditions that keep pace with the broader economy and provide fair and equitable condition and job security.</w:t>
      </w:r>
    </w:p>
    <w:p w14:paraId="246A7048" w14:textId="55DBAB48" w:rsidR="008A52FE" w:rsidRPr="008A52FE" w:rsidRDefault="008A52FE" w:rsidP="00C4140A">
      <w:pPr>
        <w:pStyle w:val="Bulletedtext"/>
        <w:numPr>
          <w:ilvl w:val="0"/>
          <w:numId w:val="0"/>
        </w:numPr>
        <w:spacing w:after="240"/>
        <w:ind w:right="-2"/>
      </w:pPr>
      <w:r>
        <w:t xml:space="preserve">The Government has also stated in its plan for Secure Australian Jobs that a key objective in considering its approach to workplace relations was to restore the ability of workers to genuinely bargain for better pay and conditions. </w:t>
      </w:r>
    </w:p>
    <w:p w14:paraId="12C85E20" w14:textId="77777777" w:rsidR="00BB7280" w:rsidRDefault="008A52FE" w:rsidP="00C4140A">
      <w:pPr>
        <w:pStyle w:val="Bulletedtext"/>
        <w:numPr>
          <w:ilvl w:val="0"/>
          <w:numId w:val="0"/>
        </w:numPr>
        <w:spacing w:after="240"/>
        <w:ind w:right="-2"/>
      </w:pPr>
      <w:r>
        <w:t xml:space="preserve">As a means to achieving these objectives </w:t>
      </w:r>
      <w:r w:rsidR="00BB7280">
        <w:t xml:space="preserve">in the APS, </w:t>
      </w:r>
      <w:r>
        <w:t xml:space="preserve">the Government </w:t>
      </w:r>
      <w:r w:rsidR="00BB7280">
        <w:t xml:space="preserve">has </w:t>
      </w:r>
      <w:r>
        <w:t xml:space="preserve">asked the Australian Public Service Commission (APSC) to develop and implement a comprehensive workplace relations policy with view to undertaking genuine service wide bargaining in 2023. </w:t>
      </w:r>
    </w:p>
    <w:p w14:paraId="4C2808DB" w14:textId="2BF1B74F" w:rsidR="008A52FE" w:rsidRDefault="008A52FE" w:rsidP="00C4140A">
      <w:pPr>
        <w:pStyle w:val="Bulletedtext"/>
        <w:numPr>
          <w:ilvl w:val="0"/>
          <w:numId w:val="0"/>
        </w:numPr>
        <w:spacing w:after="240"/>
        <w:ind w:right="-2"/>
      </w:pPr>
      <w:r>
        <w:t xml:space="preserve">Service-wide bargaining for common terms and condition is expected to commence </w:t>
      </w:r>
      <w:r w:rsidR="006E1F8C">
        <w:t>in 2023</w:t>
      </w:r>
      <w:r>
        <w:t xml:space="preserve">. The comprehensive policy is also expected to </w:t>
      </w:r>
      <w:r w:rsidR="00BB7280">
        <w:t xml:space="preserve">facilitate </w:t>
      </w:r>
      <w:r>
        <w:t>initial steps towards address</w:t>
      </w:r>
      <w:r w:rsidR="006E1F8C">
        <w:t>ing</w:t>
      </w:r>
      <w:r>
        <w:t xml:space="preserve"> pay fragmentation across the APS. </w:t>
      </w:r>
    </w:p>
    <w:p w14:paraId="4D5AA732" w14:textId="552AFB9B" w:rsidR="00A33DE3" w:rsidRDefault="008926FC" w:rsidP="00C4140A">
      <w:pPr>
        <w:pStyle w:val="Bulletedtext"/>
        <w:numPr>
          <w:ilvl w:val="0"/>
          <w:numId w:val="0"/>
        </w:numPr>
        <w:spacing w:after="240"/>
        <w:ind w:right="-2"/>
      </w:pPr>
      <w:r>
        <w:t>The Workplace Relations Bargaining Taskforce</w:t>
      </w:r>
      <w:r w:rsidR="003E64D8">
        <w:t xml:space="preserve"> within the </w:t>
      </w:r>
      <w:r w:rsidR="00CC4D24">
        <w:t>APSC</w:t>
      </w:r>
      <w:r w:rsidR="008A52FE">
        <w:t xml:space="preserve"> </w:t>
      </w:r>
      <w:r w:rsidR="003E64D8">
        <w:t>undert</w:t>
      </w:r>
      <w:r w:rsidR="008A52FE">
        <w:t xml:space="preserve">ook </w:t>
      </w:r>
      <w:r w:rsidR="005F36A2">
        <w:t>focus group consultation</w:t>
      </w:r>
      <w:r w:rsidR="003E64D8">
        <w:t>s</w:t>
      </w:r>
      <w:r w:rsidR="005F36A2">
        <w:t xml:space="preserve"> </w:t>
      </w:r>
      <w:r>
        <w:t xml:space="preserve">with </w:t>
      </w:r>
      <w:r w:rsidR="00AE2120">
        <w:t xml:space="preserve">all </w:t>
      </w:r>
      <w:r w:rsidR="008A52FE">
        <w:t>APS</w:t>
      </w:r>
      <w:r w:rsidR="003E64D8">
        <w:t xml:space="preserve"> agencies </w:t>
      </w:r>
      <w:r>
        <w:t xml:space="preserve">in November </w:t>
      </w:r>
      <w:r w:rsidR="00CC4D24">
        <w:t xml:space="preserve">and </w:t>
      </w:r>
      <w:r w:rsidR="00FA5517">
        <w:t xml:space="preserve">December </w:t>
      </w:r>
      <w:r>
        <w:t>2022.</w:t>
      </w:r>
      <w:r w:rsidR="00AE2120">
        <w:t xml:space="preserve"> </w:t>
      </w:r>
      <w:r w:rsidR="003E64D8">
        <w:t>Representatives from e</w:t>
      </w:r>
      <w:r w:rsidR="00AE2120">
        <w:t>very APS agency of all job famil</w:t>
      </w:r>
      <w:r w:rsidR="003E64D8">
        <w:t>y type</w:t>
      </w:r>
      <w:r w:rsidR="00BB7280">
        <w:t>s</w:t>
      </w:r>
      <w:r w:rsidR="003E64D8">
        <w:t xml:space="preserve"> and </w:t>
      </w:r>
      <w:r w:rsidR="00AE2120">
        <w:t>size</w:t>
      </w:r>
      <w:r w:rsidR="008A52FE">
        <w:t xml:space="preserve"> by number of employees</w:t>
      </w:r>
      <w:r w:rsidR="00BB7280">
        <w:t>,</w:t>
      </w:r>
      <w:r w:rsidR="00AE2120">
        <w:t xml:space="preserve"> were invited to participate in th</w:t>
      </w:r>
      <w:r w:rsidR="008A52FE">
        <w:t>e</w:t>
      </w:r>
      <w:r w:rsidR="00AE2120">
        <w:t xml:space="preserve"> consultation</w:t>
      </w:r>
      <w:r w:rsidR="008A52FE">
        <w:t xml:space="preserve"> process</w:t>
      </w:r>
      <w:r w:rsidR="00AE2120">
        <w:t>.</w:t>
      </w:r>
    </w:p>
    <w:p w14:paraId="1CF46E12" w14:textId="204BD61E" w:rsidR="00CC4D24" w:rsidRDefault="00CC4D24" w:rsidP="00C4140A">
      <w:pPr>
        <w:pStyle w:val="Bulletedtext"/>
        <w:numPr>
          <w:ilvl w:val="0"/>
          <w:numId w:val="0"/>
        </w:numPr>
        <w:spacing w:after="240"/>
        <w:ind w:right="-2"/>
      </w:pPr>
      <w:r>
        <w:t xml:space="preserve">Separate consultation with APS employees will be undertaken in January 2023, </w:t>
      </w:r>
      <w:r w:rsidR="00BB7280">
        <w:t xml:space="preserve">as </w:t>
      </w:r>
      <w:r>
        <w:t>facilitated by an APS-wide survey of staff to obtain their view</w:t>
      </w:r>
      <w:r w:rsidR="008A52FE">
        <w:t>s</w:t>
      </w:r>
      <w:r>
        <w:t xml:space="preserve"> and priorities for service</w:t>
      </w:r>
      <w:r w:rsidR="00BB7280">
        <w:noBreakHyphen/>
      </w:r>
      <w:r>
        <w:t xml:space="preserve">wide bargaining.   </w:t>
      </w:r>
    </w:p>
    <w:p w14:paraId="79448D09" w14:textId="4885E6EF" w:rsidR="008F3A5D" w:rsidRDefault="008926FC" w:rsidP="00C4140A">
      <w:pPr>
        <w:pStyle w:val="Bulletedtext"/>
        <w:numPr>
          <w:ilvl w:val="0"/>
          <w:numId w:val="0"/>
        </w:numPr>
        <w:spacing w:after="240"/>
        <w:ind w:right="-2"/>
      </w:pPr>
      <w:r>
        <w:t>The</w:t>
      </w:r>
      <w:r w:rsidR="00BB7280">
        <w:t xml:space="preserve"> APSC’s</w:t>
      </w:r>
      <w:r>
        <w:t xml:space="preserve"> consultation</w:t>
      </w:r>
      <w:r w:rsidR="00CC4D24">
        <w:t xml:space="preserve"> with APS agencies </w:t>
      </w:r>
      <w:r w:rsidR="003E64D8">
        <w:t>sought views</w:t>
      </w:r>
      <w:r w:rsidR="00CC4D24">
        <w:t xml:space="preserve"> around </w:t>
      </w:r>
      <w:r w:rsidR="008F3A5D">
        <w:t xml:space="preserve">the matters </w:t>
      </w:r>
      <w:r w:rsidR="003E64D8">
        <w:t>agencies</w:t>
      </w:r>
      <w:r w:rsidR="008F3A5D">
        <w:t xml:space="preserve"> considered appropriate for negotiation as common terms in APS enterprise agreements, and which matters should appropriately continue to be bargained at agency-level. </w:t>
      </w:r>
    </w:p>
    <w:p w14:paraId="0C6145E1" w14:textId="3391F791" w:rsidR="00142B3C" w:rsidRDefault="008F3A5D" w:rsidP="00C4140A">
      <w:pPr>
        <w:pStyle w:val="Bulletedtext"/>
        <w:numPr>
          <w:ilvl w:val="0"/>
          <w:numId w:val="0"/>
        </w:numPr>
        <w:spacing w:after="240"/>
        <w:ind w:right="-2"/>
      </w:pPr>
      <w:r>
        <w:t>Views from agencies were also sought about how the service-wide bargaining process should be conducted</w:t>
      </w:r>
      <w:r w:rsidR="00BB7280">
        <w:t xml:space="preserve">. This included views about </w:t>
      </w:r>
      <w:r>
        <w:t xml:space="preserve">the most efficient manner to communicate bargaining </w:t>
      </w:r>
      <w:r w:rsidR="00B86332">
        <w:t>p</w:t>
      </w:r>
      <w:r w:rsidR="006E1F8C">
        <w:t>rogress to</w:t>
      </w:r>
      <w:r>
        <w:t xml:space="preserve"> both agencies and their employees in a timely manner. </w:t>
      </w:r>
      <w:r w:rsidR="008A52FE">
        <w:t>Agencies were also asked specific question</w:t>
      </w:r>
      <w:r w:rsidR="00BB7280">
        <w:t>s</w:t>
      </w:r>
      <w:r w:rsidR="008A52FE">
        <w:t xml:space="preserve"> including who they thought were their biggest competitors for employees in the context of the current complex labour market for skills and experience. </w:t>
      </w:r>
    </w:p>
    <w:p w14:paraId="1EDB2632" w14:textId="08688928" w:rsidR="008F3A5D" w:rsidRDefault="008A52FE" w:rsidP="00C4140A">
      <w:pPr>
        <w:pStyle w:val="Bulletedtext"/>
        <w:numPr>
          <w:ilvl w:val="0"/>
          <w:numId w:val="0"/>
        </w:numPr>
        <w:ind w:right="-2"/>
      </w:pPr>
      <w:r>
        <w:t>The f</w:t>
      </w:r>
      <w:r w:rsidR="00AE2120">
        <w:t xml:space="preserve">eedback </w:t>
      </w:r>
      <w:r>
        <w:t xml:space="preserve">and comments received from APS agencies has </w:t>
      </w:r>
      <w:r w:rsidR="00AE2120">
        <w:t xml:space="preserve">been collated into common themes as represented in the graphs </w:t>
      </w:r>
      <w:r>
        <w:t xml:space="preserve">shown </w:t>
      </w:r>
      <w:r w:rsidR="00AE2120">
        <w:t>below.</w:t>
      </w:r>
    </w:p>
    <w:p w14:paraId="0C13883E" w14:textId="77777777" w:rsidR="008F3A5D" w:rsidRDefault="008F3A5D" w:rsidP="008F3A5D">
      <w:pPr>
        <w:pStyle w:val="Bulletedtext"/>
        <w:numPr>
          <w:ilvl w:val="0"/>
          <w:numId w:val="0"/>
        </w:numPr>
        <w:ind w:right="2266"/>
      </w:pPr>
      <w:bookmarkStart w:id="0" w:name="_GoBack"/>
      <w:bookmarkEnd w:id="0"/>
    </w:p>
    <w:p w14:paraId="12EAE5BA" w14:textId="77777777" w:rsidR="008A52FE" w:rsidRDefault="008A52F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42129A6" w14:textId="0A0F959A" w:rsidR="007A014F" w:rsidRPr="00334553" w:rsidRDefault="003B601B" w:rsidP="008F3A5D">
      <w:pPr>
        <w:pStyle w:val="Bulletedtext"/>
        <w:numPr>
          <w:ilvl w:val="0"/>
          <w:numId w:val="0"/>
        </w:numPr>
        <w:ind w:right="2266"/>
        <w:rPr>
          <w:b/>
          <w:sz w:val="32"/>
          <w:szCs w:val="32"/>
        </w:rPr>
      </w:pPr>
      <w:r w:rsidRPr="00334553">
        <w:rPr>
          <w:b/>
          <w:sz w:val="32"/>
          <w:szCs w:val="32"/>
        </w:rPr>
        <w:lastRenderedPageBreak/>
        <w:t xml:space="preserve">Findings </w:t>
      </w:r>
    </w:p>
    <w:p w14:paraId="099EEF2F" w14:textId="57F80787" w:rsidR="0070358E" w:rsidRPr="00334553" w:rsidRDefault="0070358E" w:rsidP="00334553">
      <w:pPr>
        <w:pStyle w:val="Heading3"/>
        <w:ind w:left="1440" w:hanging="1440"/>
        <w:rPr>
          <w:szCs w:val="28"/>
        </w:rPr>
      </w:pPr>
      <w:r w:rsidRPr="00334553">
        <w:rPr>
          <w:szCs w:val="28"/>
        </w:rPr>
        <w:t xml:space="preserve">Figure 1: </w:t>
      </w:r>
      <w:r w:rsidR="00334553">
        <w:rPr>
          <w:szCs w:val="28"/>
        </w:rPr>
        <w:tab/>
      </w:r>
      <w:r w:rsidRPr="00334553">
        <w:rPr>
          <w:szCs w:val="28"/>
        </w:rPr>
        <w:t xml:space="preserve">Conditions </w:t>
      </w:r>
      <w:r w:rsidR="005D1CB5">
        <w:rPr>
          <w:szCs w:val="28"/>
        </w:rPr>
        <w:t>that</w:t>
      </w:r>
      <w:r w:rsidRPr="00334553">
        <w:rPr>
          <w:szCs w:val="28"/>
        </w:rPr>
        <w:t xml:space="preserve"> </w:t>
      </w:r>
      <w:r w:rsidR="00334553" w:rsidRPr="00334553">
        <w:rPr>
          <w:szCs w:val="28"/>
        </w:rPr>
        <w:t>agencies</w:t>
      </w:r>
      <w:r w:rsidR="00334553">
        <w:rPr>
          <w:szCs w:val="28"/>
        </w:rPr>
        <w:t xml:space="preserve"> representatives</w:t>
      </w:r>
      <w:r w:rsidR="00334553" w:rsidRPr="00334553">
        <w:rPr>
          <w:szCs w:val="28"/>
        </w:rPr>
        <w:t xml:space="preserve"> consider</w:t>
      </w:r>
      <w:r w:rsidR="00334553">
        <w:rPr>
          <w:szCs w:val="28"/>
        </w:rPr>
        <w:t>ed</w:t>
      </w:r>
      <w:r w:rsidR="00334553" w:rsidRPr="00334553">
        <w:rPr>
          <w:szCs w:val="28"/>
        </w:rPr>
        <w:t xml:space="preserve"> </w:t>
      </w:r>
      <w:r w:rsidRPr="00334553">
        <w:rPr>
          <w:szCs w:val="28"/>
        </w:rPr>
        <w:t xml:space="preserve">should be </w:t>
      </w:r>
      <w:r w:rsidR="004B76D9" w:rsidRPr="00334553">
        <w:rPr>
          <w:szCs w:val="28"/>
        </w:rPr>
        <w:t xml:space="preserve">standardised across the </w:t>
      </w:r>
      <w:r w:rsidR="00334553" w:rsidRPr="00334553">
        <w:rPr>
          <w:szCs w:val="28"/>
        </w:rPr>
        <w:t>APS</w:t>
      </w:r>
    </w:p>
    <w:p w14:paraId="05690A4F" w14:textId="77777777" w:rsidR="00334553" w:rsidRPr="00334553" w:rsidRDefault="00334553" w:rsidP="00334553"/>
    <w:p w14:paraId="37F9959C" w14:textId="5DF7268F" w:rsidR="008A52FE" w:rsidRDefault="008A52FE" w:rsidP="008A52FE"/>
    <w:p w14:paraId="6D8F139D" w14:textId="28799D17" w:rsidR="008A52FE" w:rsidRPr="008A52FE" w:rsidRDefault="008A52FE" w:rsidP="008A52FE">
      <w:r>
        <w:rPr>
          <w:noProof/>
        </w:rPr>
        <w:drawing>
          <wp:inline distT="0" distB="0" distL="0" distR="0" wp14:anchorId="5C8C4250" wp14:editId="5CCCE14E">
            <wp:extent cx="6272011" cy="4359498"/>
            <wp:effectExtent l="0" t="0" r="14605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0C18F9" w14:textId="7AE4B56B" w:rsidR="0070358E" w:rsidRDefault="0070358E" w:rsidP="0070358E"/>
    <w:p w14:paraId="7CC27397" w14:textId="77777777" w:rsidR="005C2052" w:rsidRDefault="001102BB" w:rsidP="001102BB">
      <w:r w:rsidRPr="001102BB">
        <w:rPr>
          <w:b/>
        </w:rPr>
        <w:t>Figure 1</w:t>
      </w:r>
      <w:r>
        <w:t xml:space="preserve"> </w:t>
      </w:r>
      <w:r w:rsidR="007C62CF">
        <w:t>shows</w:t>
      </w:r>
      <w:r>
        <w:t xml:space="preserve"> the top </w:t>
      </w:r>
      <w:r w:rsidR="004C5241">
        <w:t xml:space="preserve">recommended common </w:t>
      </w:r>
      <w:r>
        <w:t>term</w:t>
      </w:r>
      <w:r w:rsidR="005C2052">
        <w:t xml:space="preserve"> areas</w:t>
      </w:r>
      <w:r>
        <w:t xml:space="preserve"> </w:t>
      </w:r>
      <w:r w:rsidR="005C1918">
        <w:t>identified</w:t>
      </w:r>
      <w:r w:rsidR="004C5241">
        <w:t xml:space="preserve"> by</w:t>
      </w:r>
      <w:r>
        <w:t xml:space="preserve"> agency representatives. </w:t>
      </w:r>
    </w:p>
    <w:p w14:paraId="24433FFD" w14:textId="700ED594" w:rsidR="00334553" w:rsidRDefault="00400043" w:rsidP="001102BB">
      <w:r>
        <w:t>For example, 28</w:t>
      </w:r>
      <w:r w:rsidR="005C2052">
        <w:t>%</w:t>
      </w:r>
      <w:r>
        <w:t xml:space="preserve"> of participating agency r</w:t>
      </w:r>
      <w:r w:rsidR="001102BB">
        <w:t xml:space="preserve">epresentatives </w:t>
      </w:r>
      <w:r>
        <w:t xml:space="preserve">indicated </w:t>
      </w:r>
      <w:r w:rsidR="001102BB">
        <w:t xml:space="preserve">that leave </w:t>
      </w:r>
      <w:r w:rsidR="005C2052">
        <w:t xml:space="preserve">as a broad category </w:t>
      </w:r>
      <w:r w:rsidR="001102BB">
        <w:t xml:space="preserve">is </w:t>
      </w:r>
      <w:r w:rsidR="005C2052">
        <w:t xml:space="preserve">a matter that could be made </w:t>
      </w:r>
      <w:r w:rsidR="001102BB">
        <w:t>common across APS</w:t>
      </w:r>
      <w:r w:rsidR="005C2052">
        <w:t xml:space="preserve"> enterprise agreements.</w:t>
      </w:r>
      <w:r w:rsidR="001102BB">
        <w:t xml:space="preserve"> </w:t>
      </w:r>
    </w:p>
    <w:p w14:paraId="21B149E5" w14:textId="77777777" w:rsidR="00334553" w:rsidRDefault="00334553" w:rsidP="00334553">
      <w:pPr>
        <w:rPr>
          <w:rFonts w:ascii="Arial" w:eastAsia="Batang" w:hAnsi="Arial" w:cs="Arial"/>
          <w:sz w:val="28"/>
        </w:rPr>
      </w:pPr>
      <w:r>
        <w:br w:type="page"/>
      </w:r>
    </w:p>
    <w:p w14:paraId="17568B4D" w14:textId="77777777" w:rsidR="00334553" w:rsidRDefault="00334553" w:rsidP="00334553">
      <w:pPr>
        <w:pStyle w:val="Heading3"/>
        <w:rPr>
          <w:szCs w:val="28"/>
        </w:rPr>
      </w:pPr>
    </w:p>
    <w:p w14:paraId="43D69F14" w14:textId="30FC35E7" w:rsidR="00334553" w:rsidRDefault="005370BB" w:rsidP="00334553">
      <w:pPr>
        <w:pStyle w:val="Heading3"/>
        <w:ind w:left="1440" w:hanging="1440"/>
        <w:rPr>
          <w:noProof/>
        </w:rPr>
      </w:pPr>
      <w:r w:rsidRPr="00334553">
        <w:rPr>
          <w:szCs w:val="28"/>
        </w:rPr>
        <w:t xml:space="preserve">Figure 2: </w:t>
      </w:r>
      <w:r w:rsidR="00334553">
        <w:rPr>
          <w:szCs w:val="28"/>
        </w:rPr>
        <w:tab/>
      </w:r>
      <w:r w:rsidR="005D1CB5" w:rsidRPr="00334553">
        <w:rPr>
          <w:szCs w:val="28"/>
        </w:rPr>
        <w:t xml:space="preserve">Conditions </w:t>
      </w:r>
      <w:r w:rsidR="005D1CB5">
        <w:rPr>
          <w:szCs w:val="28"/>
        </w:rPr>
        <w:t>that</w:t>
      </w:r>
      <w:r w:rsidR="005D1CB5" w:rsidRPr="00334553">
        <w:rPr>
          <w:szCs w:val="28"/>
        </w:rPr>
        <w:t xml:space="preserve"> agencies</w:t>
      </w:r>
      <w:r w:rsidR="005D1CB5">
        <w:rPr>
          <w:szCs w:val="28"/>
        </w:rPr>
        <w:t xml:space="preserve"> representatives</w:t>
      </w:r>
      <w:r w:rsidR="005D1CB5" w:rsidRPr="00334553">
        <w:rPr>
          <w:szCs w:val="28"/>
        </w:rPr>
        <w:t xml:space="preserve"> </w:t>
      </w:r>
      <w:r w:rsidR="005D1CB5">
        <w:rPr>
          <w:szCs w:val="28"/>
        </w:rPr>
        <w:t xml:space="preserve">considered should </w:t>
      </w:r>
      <w:r w:rsidR="00334553">
        <w:rPr>
          <w:szCs w:val="28"/>
        </w:rPr>
        <w:t>continue to be variable</w:t>
      </w:r>
      <w:r w:rsidRPr="00334553">
        <w:rPr>
          <w:szCs w:val="28"/>
        </w:rPr>
        <w:t xml:space="preserve"> between</w:t>
      </w:r>
      <w:r w:rsidR="005D1CB5">
        <w:rPr>
          <w:szCs w:val="28"/>
        </w:rPr>
        <w:t> </w:t>
      </w:r>
      <w:r w:rsidRPr="00334553">
        <w:rPr>
          <w:szCs w:val="28"/>
        </w:rPr>
        <w:t>agencies</w:t>
      </w:r>
    </w:p>
    <w:p w14:paraId="67DCC6FD" w14:textId="6297F983" w:rsidR="00334553" w:rsidRDefault="00334553" w:rsidP="00334553"/>
    <w:p w14:paraId="6DFBD9A0" w14:textId="17ADBF74" w:rsidR="00334553" w:rsidRDefault="00334553" w:rsidP="00334553"/>
    <w:p w14:paraId="7F968A5F" w14:textId="46F99C18" w:rsidR="00334553" w:rsidRPr="00334553" w:rsidRDefault="00334553" w:rsidP="00334553">
      <w:r>
        <w:rPr>
          <w:noProof/>
        </w:rPr>
        <w:drawing>
          <wp:inline distT="0" distB="0" distL="0" distR="0" wp14:anchorId="70E61F9B" wp14:editId="09A74C6D">
            <wp:extent cx="6104586" cy="3354705"/>
            <wp:effectExtent l="0" t="0" r="10795" b="1714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C72E8FA" w14:textId="64B1679A" w:rsidR="00334553" w:rsidRDefault="00334553" w:rsidP="00334553"/>
    <w:p w14:paraId="2D311C83" w14:textId="77777777" w:rsidR="005C2052" w:rsidRDefault="007C62CF" w:rsidP="007C62CF">
      <w:r w:rsidRPr="007C62CF">
        <w:rPr>
          <w:b/>
        </w:rPr>
        <w:t>Figure 2</w:t>
      </w:r>
      <w:r>
        <w:rPr>
          <w:b/>
        </w:rPr>
        <w:t xml:space="preserve"> </w:t>
      </w:r>
      <w:r w:rsidRPr="004C5241">
        <w:t xml:space="preserve">shows </w:t>
      </w:r>
      <w:r w:rsidR="004C5241" w:rsidRPr="004C5241">
        <w:t xml:space="preserve">the top rated </w:t>
      </w:r>
      <w:r w:rsidR="004C5241">
        <w:t xml:space="preserve">agency-specific </w:t>
      </w:r>
      <w:r w:rsidR="004C5241" w:rsidRPr="004C5241">
        <w:t xml:space="preserve">terms and conditions </w:t>
      </w:r>
      <w:r w:rsidR="005C2052">
        <w:t xml:space="preserve">raised </w:t>
      </w:r>
      <w:r w:rsidRPr="004C5241">
        <w:t>agency representatives</w:t>
      </w:r>
      <w:r w:rsidR="004C5241">
        <w:t xml:space="preserve">. </w:t>
      </w:r>
    </w:p>
    <w:p w14:paraId="043DA55F" w14:textId="0A055701" w:rsidR="00334553" w:rsidRPr="007C62CF" w:rsidRDefault="005C2052" w:rsidP="007C62CF">
      <w:pPr>
        <w:rPr>
          <w:b/>
        </w:rPr>
      </w:pPr>
      <w:r>
        <w:t>For example, 17% of agency r</w:t>
      </w:r>
      <w:r w:rsidR="004C5241">
        <w:t xml:space="preserve">epresentatives </w:t>
      </w:r>
      <w:r>
        <w:t xml:space="preserve">indicated that ‘Agency </w:t>
      </w:r>
      <w:r w:rsidR="004C5241">
        <w:t>specific allowances</w:t>
      </w:r>
      <w:r>
        <w:t>’</w:t>
      </w:r>
      <w:r w:rsidR="004C5241">
        <w:t xml:space="preserve"> </w:t>
      </w:r>
      <w:r>
        <w:t>are a matter that is best to remain negotiated at agency-level.</w:t>
      </w:r>
    </w:p>
    <w:p w14:paraId="62B35DDA" w14:textId="77777777" w:rsidR="00334553" w:rsidRDefault="00334553" w:rsidP="00334553">
      <w:pPr>
        <w:rPr>
          <w:rFonts w:ascii="Arial" w:eastAsia="Batang" w:hAnsi="Arial" w:cs="Arial"/>
          <w:sz w:val="28"/>
          <w:szCs w:val="26"/>
        </w:rPr>
      </w:pPr>
      <w:r>
        <w:br w:type="page"/>
      </w:r>
    </w:p>
    <w:p w14:paraId="6F385535" w14:textId="1314B093" w:rsidR="0070358E" w:rsidRDefault="0070358E" w:rsidP="0070358E">
      <w:pPr>
        <w:pStyle w:val="Heading3"/>
      </w:pPr>
      <w:r>
        <w:lastRenderedPageBreak/>
        <w:t>Figure 3:</w:t>
      </w:r>
      <w:r w:rsidR="005370BB">
        <w:t xml:space="preserve"> </w:t>
      </w:r>
      <w:r w:rsidR="00334553">
        <w:tab/>
      </w:r>
      <w:r w:rsidR="005D1CB5">
        <w:t>Your c</w:t>
      </w:r>
      <w:r w:rsidR="005370BB">
        <w:t xml:space="preserve">ompetitors for </w:t>
      </w:r>
      <w:r w:rsidR="00334553">
        <w:t xml:space="preserve">APS </w:t>
      </w:r>
      <w:r w:rsidR="005370BB">
        <w:t>employees</w:t>
      </w:r>
    </w:p>
    <w:p w14:paraId="14D9D357" w14:textId="00500150" w:rsidR="00334553" w:rsidRDefault="00334553" w:rsidP="00334553"/>
    <w:p w14:paraId="184EFFAE" w14:textId="4E91FFB6" w:rsidR="00334553" w:rsidRDefault="00334553" w:rsidP="00334553"/>
    <w:p w14:paraId="520BC641" w14:textId="77777777" w:rsidR="00334553" w:rsidRPr="00334553" w:rsidRDefault="00334553" w:rsidP="00334553"/>
    <w:p w14:paraId="75732204" w14:textId="75E0106A" w:rsidR="0070358E" w:rsidRDefault="001A4A0C" w:rsidP="0070358E">
      <w:r>
        <w:rPr>
          <w:noProof/>
        </w:rPr>
        <w:drawing>
          <wp:inline distT="0" distB="0" distL="0" distR="0" wp14:anchorId="6E22302D" wp14:editId="799EB629">
            <wp:extent cx="6614160" cy="3665220"/>
            <wp:effectExtent l="0" t="0" r="15240" b="1143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FE29EC8" w14:textId="36479084" w:rsidR="00C65E3D" w:rsidRDefault="00C65E3D" w:rsidP="0070358E"/>
    <w:p w14:paraId="1E7F4E4A" w14:textId="77777777" w:rsidR="005C2052" w:rsidRDefault="00C65E3D" w:rsidP="0070358E">
      <w:r w:rsidRPr="00C65E3D">
        <w:rPr>
          <w:b/>
        </w:rPr>
        <w:t xml:space="preserve">Figure 3 </w:t>
      </w:r>
      <w:r>
        <w:t xml:space="preserve">shows </w:t>
      </w:r>
      <w:r w:rsidR="004F4303">
        <w:t>the biggest competitors for APS staff identified by agency representatives</w:t>
      </w:r>
      <w:r>
        <w:t>.</w:t>
      </w:r>
    </w:p>
    <w:p w14:paraId="727FF3D0" w14:textId="46F36F36" w:rsidR="00C65E3D" w:rsidRDefault="005C2052" w:rsidP="0070358E">
      <w:r>
        <w:t xml:space="preserve">For example, 24% of agency representatives indicated that state governments are </w:t>
      </w:r>
      <w:r w:rsidR="00C65E3D">
        <w:t>the</w:t>
      </w:r>
      <w:r>
        <w:t>ir</w:t>
      </w:r>
      <w:r w:rsidR="00C65E3D">
        <w:t xml:space="preserve"> biggest competitor for employees.</w:t>
      </w:r>
    </w:p>
    <w:p w14:paraId="4B3615F5" w14:textId="77777777" w:rsidR="0070358E" w:rsidRDefault="0070358E" w:rsidP="0070358E">
      <w:pPr>
        <w:pStyle w:val="Heading3"/>
      </w:pPr>
    </w:p>
    <w:p w14:paraId="2296F450" w14:textId="253F5008" w:rsidR="0070358E" w:rsidRPr="0070358E" w:rsidRDefault="0070358E" w:rsidP="0070358E">
      <w:pPr>
        <w:pStyle w:val="Heading3"/>
      </w:pPr>
      <w:r>
        <w:t xml:space="preserve">Figure 4: </w:t>
      </w:r>
      <w:r w:rsidR="00334553">
        <w:tab/>
      </w:r>
      <w:r w:rsidR="004B76D9">
        <w:t>Private sector competitors for employees</w:t>
      </w:r>
    </w:p>
    <w:p w14:paraId="58FCCCED" w14:textId="10A89E46" w:rsidR="00246CAB" w:rsidRDefault="00246CAB" w:rsidP="004B76D9">
      <w:r>
        <w:rPr>
          <w:noProof/>
        </w:rPr>
        <w:drawing>
          <wp:anchor distT="0" distB="0" distL="114300" distR="114300" simplePos="0" relativeHeight="251677184" behindDoc="0" locked="0" layoutInCell="1" allowOverlap="1" wp14:anchorId="7D3C9FF1" wp14:editId="39D845E5">
            <wp:simplePos x="0" y="0"/>
            <wp:positionH relativeFrom="margin">
              <wp:posOffset>-6985</wp:posOffset>
            </wp:positionH>
            <wp:positionV relativeFrom="paragraph">
              <wp:posOffset>227330</wp:posOffset>
            </wp:positionV>
            <wp:extent cx="6431280" cy="3619500"/>
            <wp:effectExtent l="0" t="0" r="7620" b="0"/>
            <wp:wrapSquare wrapText="bothSides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46C3C" w14:textId="02B050E9" w:rsidR="00246CAB" w:rsidRDefault="00246CAB" w:rsidP="00246CAB"/>
    <w:p w14:paraId="4E50AA7C" w14:textId="77777777" w:rsidR="0010135D" w:rsidRDefault="00C65E3D">
      <w:pPr>
        <w:spacing w:after="200" w:line="276" w:lineRule="auto"/>
      </w:pPr>
      <w:r w:rsidRPr="00C65E3D">
        <w:rPr>
          <w:b/>
        </w:rPr>
        <w:t>Figure 4</w:t>
      </w:r>
      <w:r>
        <w:t xml:space="preserve"> indicates which non-APS or private sector organisations are the largest competitors for APS employees. </w:t>
      </w:r>
    </w:p>
    <w:p w14:paraId="63DBE87D" w14:textId="0DD823CB" w:rsidR="00334553" w:rsidRDefault="0010135D">
      <w:pPr>
        <w:spacing w:after="200" w:line="276" w:lineRule="auto"/>
        <w:rPr>
          <w:rFonts w:ascii="Arial" w:eastAsia="Batang" w:hAnsi="Arial" w:cs="Arial"/>
          <w:bCs/>
          <w:iCs/>
          <w:sz w:val="28"/>
          <w:szCs w:val="26"/>
        </w:rPr>
      </w:pPr>
      <w:r>
        <w:t xml:space="preserve">For example agency representatives indicated </w:t>
      </w:r>
      <w:r w:rsidR="00C65E3D">
        <w:t>Cyber, IT/Data analyst</w:t>
      </w:r>
      <w:r>
        <w:t>s are the top job family</w:t>
      </w:r>
      <w:r w:rsidR="00C65E3D">
        <w:t xml:space="preserve"> </w:t>
      </w:r>
      <w:r>
        <w:t xml:space="preserve">areas </w:t>
      </w:r>
      <w:r w:rsidR="00211DCB">
        <w:t xml:space="preserve">in which </w:t>
      </w:r>
      <w:r w:rsidR="004F4303">
        <w:t>APS agencies compet</w:t>
      </w:r>
      <w:r w:rsidR="00211DCB">
        <w:t>e</w:t>
      </w:r>
      <w:r w:rsidR="004F4303">
        <w:t xml:space="preserve"> </w:t>
      </w:r>
      <w:r w:rsidR="00C65E3D">
        <w:t>for staff.</w:t>
      </w:r>
      <w:r w:rsidR="00334553">
        <w:br w:type="page"/>
      </w:r>
    </w:p>
    <w:p w14:paraId="411C9D30" w14:textId="6A96EEC7" w:rsidR="00246CAB" w:rsidRPr="00246CAB" w:rsidRDefault="00246CAB" w:rsidP="00334553">
      <w:pPr>
        <w:pStyle w:val="Heading3"/>
        <w:ind w:left="1440" w:hanging="1440"/>
        <w:rPr>
          <w:caps/>
        </w:rPr>
      </w:pPr>
      <w:r>
        <w:lastRenderedPageBreak/>
        <w:t xml:space="preserve">Figure 5: </w:t>
      </w:r>
      <w:r w:rsidR="00334553">
        <w:tab/>
      </w:r>
      <w:r>
        <w:t xml:space="preserve">Entitlements the APS </w:t>
      </w:r>
      <w:r w:rsidR="00AC7805">
        <w:t>should</w:t>
      </w:r>
      <w:r>
        <w:t xml:space="preserve"> replicate from the private sector</w:t>
      </w:r>
    </w:p>
    <w:p w14:paraId="71B1A032" w14:textId="77777777" w:rsidR="00246CAB" w:rsidRPr="00246CAB" w:rsidRDefault="00246CAB" w:rsidP="00246CAB"/>
    <w:p w14:paraId="3F98BEC8" w14:textId="30E0A795" w:rsidR="00246CAB" w:rsidRPr="00246CAB" w:rsidRDefault="00246CAB" w:rsidP="00246CAB">
      <w:r>
        <w:rPr>
          <w:noProof/>
        </w:rPr>
        <w:drawing>
          <wp:inline distT="0" distB="0" distL="0" distR="0" wp14:anchorId="3589BEE5" wp14:editId="0FD65894">
            <wp:extent cx="6469380" cy="3794760"/>
            <wp:effectExtent l="0" t="0" r="7620" b="1524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C6EDB0F" w14:textId="77777777" w:rsidR="00EF60B2" w:rsidRDefault="004F4303" w:rsidP="00246CAB">
      <w:r w:rsidRPr="004F4303">
        <w:rPr>
          <w:b/>
        </w:rPr>
        <w:t>Figure 5</w:t>
      </w:r>
      <w:r>
        <w:t xml:space="preserve"> indicates the most recommended entitlements the APS should replicate from the private sector to remain competitive. </w:t>
      </w:r>
    </w:p>
    <w:p w14:paraId="48C2C0AE" w14:textId="6410A3DA" w:rsidR="00246CAB" w:rsidRPr="00246CAB" w:rsidRDefault="00EF60B2" w:rsidP="00246CAB">
      <w:r>
        <w:t>For example, a</w:t>
      </w:r>
      <w:r w:rsidR="004F4303">
        <w:t>gency representatives identify higher pay as the most recommended entitlement required across the APS to remain competitive</w:t>
      </w:r>
      <w:r w:rsidR="007F1F76">
        <w:t>, followed by flexible work</w:t>
      </w:r>
      <w:r w:rsidR="004F4303">
        <w:t>.</w:t>
      </w:r>
    </w:p>
    <w:p w14:paraId="54C6C055" w14:textId="7E9F2213" w:rsidR="00334553" w:rsidRDefault="005E2614" w:rsidP="004B76D9">
      <w:pPr>
        <w:pStyle w:val="Heading3"/>
      </w:pPr>
      <w:r>
        <w:lastRenderedPageBreak/>
        <w:t>Figure 6: Conditions most valued by employees</w:t>
      </w:r>
    </w:p>
    <w:p w14:paraId="68E01253" w14:textId="32C2C1B1" w:rsidR="005C1918" w:rsidRDefault="00334553" w:rsidP="00334553">
      <w:r>
        <w:rPr>
          <w:noProof/>
        </w:rPr>
        <w:drawing>
          <wp:anchor distT="0" distB="0" distL="114300" distR="114300" simplePos="0" relativeHeight="251678208" behindDoc="0" locked="0" layoutInCell="1" allowOverlap="1" wp14:anchorId="158E84F8" wp14:editId="27C61309">
            <wp:simplePos x="0" y="0"/>
            <wp:positionH relativeFrom="margin">
              <wp:posOffset>64394</wp:posOffset>
            </wp:positionH>
            <wp:positionV relativeFrom="margin">
              <wp:posOffset>1005250</wp:posOffset>
            </wp:positionV>
            <wp:extent cx="6301740" cy="4023360"/>
            <wp:effectExtent l="0" t="0" r="3810" b="15240"/>
            <wp:wrapSquare wrapText="bothSides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V relativeFrom="margin">
              <wp14:pctHeight>0</wp14:pctHeight>
            </wp14:sizeRelV>
          </wp:anchor>
        </w:drawing>
      </w:r>
    </w:p>
    <w:p w14:paraId="05C7692B" w14:textId="77777777" w:rsidR="005C1918" w:rsidRPr="005C1918" w:rsidRDefault="005C1918" w:rsidP="005C1918"/>
    <w:p w14:paraId="63234109" w14:textId="1A9BC896" w:rsidR="005C1918" w:rsidRDefault="005C1918" w:rsidP="005C1918">
      <w:r>
        <w:t xml:space="preserve"> </w:t>
      </w:r>
    </w:p>
    <w:p w14:paraId="4E4C1E8E" w14:textId="77777777" w:rsidR="007F1F76" w:rsidRDefault="005C1918" w:rsidP="005C1918">
      <w:r w:rsidRPr="005C1918">
        <w:rPr>
          <w:b/>
        </w:rPr>
        <w:t>Figure 6</w:t>
      </w:r>
      <w:r>
        <w:t xml:space="preserve"> shows the top terms and conditions agency representatives believe are </w:t>
      </w:r>
      <w:r w:rsidR="007F1F76">
        <w:t xml:space="preserve">the </w:t>
      </w:r>
      <w:r>
        <w:t xml:space="preserve">most important to their staff. </w:t>
      </w:r>
    </w:p>
    <w:p w14:paraId="656ADFC8" w14:textId="7D25674A" w:rsidR="005C1918" w:rsidRPr="005C1918" w:rsidRDefault="007F1F76" w:rsidP="005C1918">
      <w:r>
        <w:t>For example, a</w:t>
      </w:r>
      <w:r w:rsidR="005C1918">
        <w:t xml:space="preserve">gency representatives indicate pay/salary as the most important condition to their staff, closely followed by flexible work. </w:t>
      </w:r>
    </w:p>
    <w:p w14:paraId="690621DE" w14:textId="77777777" w:rsidR="005C1918" w:rsidRPr="005C1918" w:rsidRDefault="005C1918" w:rsidP="005C1918"/>
    <w:p w14:paraId="6ED4B854" w14:textId="77777777" w:rsidR="005C1918" w:rsidRPr="005C1918" w:rsidRDefault="005C1918" w:rsidP="005C1918"/>
    <w:p w14:paraId="17D98313" w14:textId="77777777" w:rsidR="005C1918" w:rsidRPr="005C1918" w:rsidRDefault="005C1918" w:rsidP="005C1918"/>
    <w:p w14:paraId="4CF67BAA" w14:textId="77777777" w:rsidR="005C1918" w:rsidRPr="005C1918" w:rsidRDefault="005C1918" w:rsidP="005C1918"/>
    <w:p w14:paraId="56A8975F" w14:textId="77777777" w:rsidR="005C1918" w:rsidRPr="005C1918" w:rsidRDefault="005C1918" w:rsidP="005C1918"/>
    <w:p w14:paraId="2328E5B7" w14:textId="77777777" w:rsidR="005C1918" w:rsidRPr="005C1918" w:rsidRDefault="005C1918" w:rsidP="005C1918"/>
    <w:p w14:paraId="17E43224" w14:textId="77777777" w:rsidR="005C1918" w:rsidRPr="005C1918" w:rsidRDefault="005C1918" w:rsidP="005C1918"/>
    <w:p w14:paraId="293794D0" w14:textId="77777777" w:rsidR="005C1918" w:rsidRPr="005C1918" w:rsidRDefault="005C1918" w:rsidP="005C1918"/>
    <w:p w14:paraId="4F97B5F1" w14:textId="77777777" w:rsidR="005C1918" w:rsidRPr="005C1918" w:rsidRDefault="005C1918" w:rsidP="005C1918"/>
    <w:p w14:paraId="48C6B797" w14:textId="77777777" w:rsidR="005C1918" w:rsidRPr="005C1918" w:rsidRDefault="005C1918" w:rsidP="005C1918"/>
    <w:p w14:paraId="1AF759FB" w14:textId="77777777" w:rsidR="005C1918" w:rsidRPr="005C1918" w:rsidRDefault="005C1918" w:rsidP="005C1918"/>
    <w:p w14:paraId="24E38E4F" w14:textId="77777777" w:rsidR="005C1918" w:rsidRPr="005C1918" w:rsidRDefault="005C1918" w:rsidP="005C1918"/>
    <w:p w14:paraId="03194C12" w14:textId="77777777" w:rsidR="005C1918" w:rsidRPr="005C1918" w:rsidRDefault="005C1918" w:rsidP="005C1918"/>
    <w:p w14:paraId="748D7EC9" w14:textId="48D73501" w:rsidR="00334553" w:rsidRPr="005C1918" w:rsidRDefault="00334553" w:rsidP="005C1918"/>
    <w:p w14:paraId="7BBB4118" w14:textId="36B1460D" w:rsidR="00334553" w:rsidRDefault="001D663C" w:rsidP="00334553">
      <w:pPr>
        <w:pStyle w:val="Heading3"/>
        <w:ind w:left="1440" w:hanging="1440"/>
      </w:pPr>
      <w:r>
        <w:t xml:space="preserve">Figure 7: </w:t>
      </w:r>
      <w:r w:rsidR="00334553">
        <w:tab/>
      </w:r>
      <w:r>
        <w:t xml:space="preserve">Support from the Australian Public Service Commission </w:t>
      </w:r>
      <w:r>
        <w:br/>
      </w:r>
    </w:p>
    <w:p w14:paraId="6E68F573" w14:textId="77777777" w:rsidR="00334553" w:rsidRDefault="00334553" w:rsidP="004B76D9">
      <w:pPr>
        <w:pStyle w:val="Heading3"/>
      </w:pPr>
    </w:p>
    <w:p w14:paraId="4D132171" w14:textId="35F5D040" w:rsidR="00334553" w:rsidRDefault="00334553" w:rsidP="004B76D9">
      <w:pPr>
        <w:pStyle w:val="Heading3"/>
      </w:pPr>
      <w:r>
        <w:rPr>
          <w:noProof/>
        </w:rPr>
        <w:drawing>
          <wp:inline distT="0" distB="0" distL="0" distR="0" wp14:anchorId="3242FBC5" wp14:editId="531DCCCC">
            <wp:extent cx="6278880" cy="3566160"/>
            <wp:effectExtent l="0" t="0" r="7620" b="1524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5C151CE" w14:textId="4A2A6CB4" w:rsidR="007F1F76" w:rsidRDefault="00DF7B6F" w:rsidP="00DF7B6F">
      <w:r w:rsidRPr="00634680">
        <w:rPr>
          <w:b/>
        </w:rPr>
        <w:t>Figure 7</w:t>
      </w:r>
      <w:r>
        <w:t xml:space="preserve"> indicates the areas of support agencies will need from the APSC. </w:t>
      </w:r>
    </w:p>
    <w:p w14:paraId="41BBEDAE" w14:textId="713DA9A2" w:rsidR="00334553" w:rsidRDefault="007F1F76" w:rsidP="00DF7B6F">
      <w:r>
        <w:t>For example, agency representatives indicated t</w:t>
      </w:r>
      <w:r w:rsidR="00DF7B6F">
        <w:t xml:space="preserve">emplates, talking points and FAQs were most important </w:t>
      </w:r>
      <w:r w:rsidR="00634680">
        <w:t>areas of support</w:t>
      </w:r>
      <w:r>
        <w:t xml:space="preserve"> required from the APSC</w:t>
      </w:r>
      <w:r w:rsidR="00634680">
        <w:t xml:space="preserve">. </w:t>
      </w:r>
    </w:p>
    <w:p w14:paraId="29C01AD6" w14:textId="3E101806" w:rsidR="0070358E" w:rsidRDefault="0049376F" w:rsidP="004B76D9">
      <w:pPr>
        <w:pStyle w:val="Heading3"/>
      </w:pPr>
      <w:r>
        <w:br/>
      </w:r>
    </w:p>
    <w:p w14:paraId="0B8481F4" w14:textId="24589517" w:rsidR="0049376F" w:rsidRPr="0049376F" w:rsidRDefault="0049376F" w:rsidP="0049376F"/>
    <w:p w14:paraId="56EFEA85" w14:textId="3EF3DFC7" w:rsidR="0070358E" w:rsidRDefault="0070358E" w:rsidP="00C12C13"/>
    <w:p w14:paraId="5CC202C2" w14:textId="77777777" w:rsidR="00334553" w:rsidRDefault="00334553" w:rsidP="00334553">
      <w:pPr>
        <w:pStyle w:val="Heading3"/>
        <w:ind w:left="1440" w:hanging="1440"/>
      </w:pPr>
    </w:p>
    <w:p w14:paraId="44AFAEFB" w14:textId="77777777" w:rsidR="00334553" w:rsidRDefault="00334553" w:rsidP="00334553">
      <w:pPr>
        <w:rPr>
          <w:rFonts w:ascii="Arial" w:eastAsia="Batang" w:hAnsi="Arial" w:cs="Arial"/>
          <w:sz w:val="28"/>
          <w:szCs w:val="26"/>
        </w:rPr>
      </w:pPr>
      <w:r>
        <w:br w:type="page"/>
      </w:r>
    </w:p>
    <w:p w14:paraId="52FD74AA" w14:textId="43FEF97F" w:rsidR="0070358E" w:rsidRDefault="0070358E" w:rsidP="00334553">
      <w:pPr>
        <w:pStyle w:val="Heading3"/>
        <w:ind w:left="1440" w:hanging="1440"/>
      </w:pPr>
      <w:r>
        <w:lastRenderedPageBreak/>
        <w:t xml:space="preserve">Figure </w:t>
      </w:r>
      <w:r w:rsidR="00D37E4A">
        <w:t>8</w:t>
      </w:r>
      <w:r>
        <w:t xml:space="preserve">: </w:t>
      </w:r>
      <w:r w:rsidR="00334553">
        <w:tab/>
      </w:r>
      <w:r w:rsidR="004F43D5">
        <w:t xml:space="preserve">Practical suggestions to manage the APS bargaining process </w:t>
      </w:r>
    </w:p>
    <w:p w14:paraId="27B659E6" w14:textId="52C1E9C4" w:rsidR="00334553" w:rsidRDefault="00334553" w:rsidP="00334553"/>
    <w:p w14:paraId="28AA6BF1" w14:textId="4B3B891E" w:rsidR="00334553" w:rsidRDefault="00334553" w:rsidP="00334553"/>
    <w:p w14:paraId="46083005" w14:textId="68A2B7F2" w:rsidR="00334553" w:rsidRPr="00334553" w:rsidRDefault="00334553" w:rsidP="00334553">
      <w:r>
        <w:rPr>
          <w:noProof/>
        </w:rPr>
        <w:drawing>
          <wp:inline distT="0" distB="0" distL="0" distR="0" wp14:anchorId="4577B7A0" wp14:editId="1CCC4081">
            <wp:extent cx="6446520" cy="4122420"/>
            <wp:effectExtent l="0" t="0" r="11430" b="1143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F4EF5EC" w14:textId="77777777" w:rsidR="009B028F" w:rsidRDefault="00634680" w:rsidP="00EA6553">
      <w:r w:rsidRPr="00634680">
        <w:rPr>
          <w:b/>
        </w:rPr>
        <w:t>Figure 8</w:t>
      </w:r>
      <w:r>
        <w:t xml:space="preserve"> identifies the top recommendations </w:t>
      </w:r>
      <w:r w:rsidR="009B028F">
        <w:t xml:space="preserve">around </w:t>
      </w:r>
      <w:r>
        <w:t xml:space="preserve">managing APS bargaining at scale. </w:t>
      </w:r>
    </w:p>
    <w:p w14:paraId="509F00AF" w14:textId="264B1F36" w:rsidR="00EA6553" w:rsidRPr="00EA6553" w:rsidRDefault="009B028F" w:rsidP="00EA6553">
      <w:r>
        <w:t xml:space="preserve">For example, the general use </w:t>
      </w:r>
      <w:r w:rsidR="00634680">
        <w:t xml:space="preserve">technology and ensuring small agencies are heard </w:t>
      </w:r>
      <w:r>
        <w:t xml:space="preserve">throughout the process </w:t>
      </w:r>
      <w:r w:rsidR="00634680">
        <w:t>were the top rated areas of focus by agency representatives.</w:t>
      </w:r>
    </w:p>
    <w:p w14:paraId="5D74FCB1" w14:textId="77777777" w:rsidR="00334553" w:rsidRDefault="00334553" w:rsidP="00334553">
      <w:pPr>
        <w:pStyle w:val="Heading3"/>
        <w:ind w:left="1418" w:hanging="1418"/>
      </w:pPr>
    </w:p>
    <w:p w14:paraId="2DC3776D" w14:textId="03417AAA" w:rsidR="00634680" w:rsidRPr="00334553" w:rsidRDefault="00634680" w:rsidP="00334553">
      <w:r>
        <w:t xml:space="preserve"> </w:t>
      </w:r>
    </w:p>
    <w:sectPr w:rsidR="00634680" w:rsidRPr="00334553" w:rsidSect="00FA5517">
      <w:headerReference w:type="default" r:id="rId21"/>
      <w:footerReference w:type="default" r:id="rId22"/>
      <w:type w:val="continuous"/>
      <w:pgSz w:w="11906" w:h="16838"/>
      <w:pgMar w:top="1134" w:right="851" w:bottom="993" w:left="851" w:header="28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F3157" w14:textId="77777777" w:rsidR="00172CBE" w:rsidRPr="00E263FC" w:rsidRDefault="00172CBE" w:rsidP="00E263FC">
      <w:r>
        <w:separator/>
      </w:r>
    </w:p>
  </w:endnote>
  <w:endnote w:type="continuationSeparator" w:id="0">
    <w:p w14:paraId="7224F304" w14:textId="77777777" w:rsidR="00172CBE" w:rsidRPr="00E263FC" w:rsidRDefault="00172CBE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7FE5" w14:textId="635BDC35" w:rsidR="007A014F" w:rsidRPr="00DA0107" w:rsidRDefault="00172CBE" w:rsidP="007A014F">
    <w:pPr>
      <w:pStyle w:val="Footer"/>
    </w:pPr>
    <w:sdt>
      <w:sdtPr>
        <w:id w:val="-681740501"/>
        <w:docPartObj>
          <w:docPartGallery w:val="Page Numbers (Bottom of Page)"/>
          <w:docPartUnique/>
        </w:docPartObj>
      </w:sdtPr>
      <w:sdtEndPr/>
      <w:sdtContent>
        <w:r w:rsidR="007A014F" w:rsidRPr="00DA0107">
          <w:rPr>
            <w:b/>
            <w:color w:val="40C925"/>
            <w:sz w:val="28"/>
          </w:rPr>
          <w:fldChar w:fldCharType="begin"/>
        </w:r>
        <w:r w:rsidR="007A014F" w:rsidRPr="00DA0107">
          <w:rPr>
            <w:b/>
            <w:color w:val="40C925"/>
            <w:sz w:val="28"/>
          </w:rPr>
          <w:instrText xml:space="preserve"> PAGE   \* MERGEFORMAT </w:instrText>
        </w:r>
        <w:r w:rsidR="007A014F" w:rsidRPr="00DA0107">
          <w:rPr>
            <w:b/>
            <w:color w:val="40C925"/>
            <w:sz w:val="28"/>
          </w:rPr>
          <w:fldChar w:fldCharType="separate"/>
        </w:r>
        <w:r w:rsidR="009D7937">
          <w:rPr>
            <w:b/>
            <w:noProof/>
            <w:color w:val="40C925"/>
            <w:sz w:val="28"/>
          </w:rPr>
          <w:t>8</w:t>
        </w:r>
        <w:r w:rsidR="007A014F" w:rsidRPr="00DA0107">
          <w:rPr>
            <w:b/>
            <w:color w:val="40C925"/>
            <w:sz w:val="28"/>
          </w:rPr>
          <w:fldChar w:fldCharType="end"/>
        </w:r>
      </w:sdtContent>
    </w:sdt>
    <w:r w:rsidR="00591C63" w:rsidRPr="00DA0107">
      <w:t xml:space="preserve"> |</w:t>
    </w:r>
    <w:r w:rsidR="007A014F" w:rsidRPr="00DA0107">
      <w:t xml:space="preserve"> </w:t>
    </w:r>
    <w:r w:rsidR="007A014F" w:rsidRPr="00DA0107">
      <w:fldChar w:fldCharType="begin"/>
    </w:r>
    <w:r w:rsidR="007A014F" w:rsidRPr="00DA0107">
      <w:instrText xml:space="preserve"> STYLEREF  Title  \* MERGEFORMAT </w:instrText>
    </w:r>
    <w:r w:rsidR="007A014F" w:rsidRPr="00DA0107">
      <w:fldChar w:fldCharType="end"/>
    </w:r>
    <w:r w:rsidR="007A014F" w:rsidRPr="00DA0107">
      <w:t xml:space="preserve"> – </w:t>
    </w:r>
    <w:r w:rsidR="00FA5517">
      <w:t>Workplace Relations Bargaining</w:t>
    </w:r>
    <w:r w:rsidR="00591C63" w:rsidRPr="00DA0107">
      <w:t xml:space="preserve"> Taskforce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68EA8" w14:textId="77777777" w:rsidR="00172CBE" w:rsidRPr="00E263FC" w:rsidRDefault="00172CBE" w:rsidP="00E263FC">
      <w:r>
        <w:separator/>
      </w:r>
    </w:p>
  </w:footnote>
  <w:footnote w:type="continuationSeparator" w:id="0">
    <w:p w14:paraId="2D2BA026" w14:textId="77777777" w:rsidR="00172CBE" w:rsidRPr="00E263FC" w:rsidRDefault="00172CBE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0E003" w14:textId="68889114" w:rsidR="004443ED" w:rsidRPr="00DA0107" w:rsidRDefault="002D3A78" w:rsidP="00BA566D">
    <w:pPr>
      <w:pStyle w:val="Header"/>
    </w:pPr>
    <w:r w:rsidRPr="00DA0107">
      <w:rPr>
        <w:noProof/>
      </w:rPr>
      <w:drawing>
        <wp:anchor distT="0" distB="0" distL="114300" distR="114300" simplePos="0" relativeHeight="251662336" behindDoc="0" locked="0" layoutInCell="1" allowOverlap="1" wp14:anchorId="1407978F" wp14:editId="5724337C">
          <wp:simplePos x="0" y="0"/>
          <wp:positionH relativeFrom="column">
            <wp:posOffset>5121506</wp:posOffset>
          </wp:positionH>
          <wp:positionV relativeFrom="paragraph">
            <wp:posOffset>-180340</wp:posOffset>
          </wp:positionV>
          <wp:extent cx="1893600" cy="1461600"/>
          <wp:effectExtent l="0" t="0" r="0" b="0"/>
          <wp:wrapThrough wrapText="bothSides">
            <wp:wrapPolygon edited="0">
              <wp:start x="0" y="0"/>
              <wp:lineTo x="0" y="21403"/>
              <wp:lineTo x="21441" y="21403"/>
              <wp:lineTo x="21441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3600" cy="14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321"/>
    <w:multiLevelType w:val="hybridMultilevel"/>
    <w:tmpl w:val="20220870"/>
    <w:lvl w:ilvl="0" w:tplc="12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3DD1"/>
    <w:multiLevelType w:val="hybridMultilevel"/>
    <w:tmpl w:val="D4242906"/>
    <w:lvl w:ilvl="0" w:tplc="1ADCC680">
      <w:start w:val="1"/>
      <w:numFmt w:val="bullet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20D9"/>
    <w:multiLevelType w:val="multilevel"/>
    <w:tmpl w:val="B254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F7CCE"/>
    <w:multiLevelType w:val="hybridMultilevel"/>
    <w:tmpl w:val="D66A5AE6"/>
    <w:lvl w:ilvl="0" w:tplc="EC1C748E">
      <w:numFmt w:val="bullet"/>
      <w:pStyle w:val="Bulletedtex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E194AB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C49DC"/>
    <w:multiLevelType w:val="hybridMultilevel"/>
    <w:tmpl w:val="76369420"/>
    <w:lvl w:ilvl="0" w:tplc="01C40A26">
      <w:start w:val="1"/>
      <w:numFmt w:val="decimal"/>
      <w:pStyle w:val="Appendix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D3378"/>
    <w:multiLevelType w:val="hybridMultilevel"/>
    <w:tmpl w:val="87B8130C"/>
    <w:lvl w:ilvl="0" w:tplc="AA16900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61D75"/>
    <w:multiLevelType w:val="hybridMultilevel"/>
    <w:tmpl w:val="B3344544"/>
    <w:lvl w:ilvl="0" w:tplc="CF0A725E">
      <w:start w:val="1"/>
      <w:numFmt w:val="bullet"/>
      <w:pStyle w:val="ListBullet"/>
      <w:lvlText w:val="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772EB"/>
    <w:multiLevelType w:val="hybridMultilevel"/>
    <w:tmpl w:val="C92E6944"/>
    <w:lvl w:ilvl="0" w:tplc="0C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61512773"/>
    <w:multiLevelType w:val="hybridMultilevel"/>
    <w:tmpl w:val="D9D087D6"/>
    <w:lvl w:ilvl="0" w:tplc="B53E95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375A1"/>
    <w:multiLevelType w:val="hybridMultilevel"/>
    <w:tmpl w:val="32E60812"/>
    <w:lvl w:ilvl="0" w:tplc="19FC590E">
      <w:start w:val="1"/>
      <w:numFmt w:val="bullet"/>
      <w:pStyle w:val="Bulletedtextlevel2"/>
      <w:lvlText w:val="-"/>
      <w:lvlJc w:val="left"/>
      <w:pPr>
        <w:ind w:left="1146" w:hanging="360"/>
      </w:pPr>
      <w:rPr>
        <w:rFonts w:ascii="Calibri" w:hAnsi="Calibri" w:hint="default"/>
        <w:color w:val="3C3E97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7C50A97"/>
    <w:multiLevelType w:val="hybridMultilevel"/>
    <w:tmpl w:val="AABC629A"/>
    <w:lvl w:ilvl="0" w:tplc="12244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E8"/>
    <w:rsid w:val="00007157"/>
    <w:rsid w:val="000139D6"/>
    <w:rsid w:val="0002159B"/>
    <w:rsid w:val="00022FD4"/>
    <w:rsid w:val="000347E3"/>
    <w:rsid w:val="000356E9"/>
    <w:rsid w:val="00037804"/>
    <w:rsid w:val="00053455"/>
    <w:rsid w:val="000567B4"/>
    <w:rsid w:val="00067C30"/>
    <w:rsid w:val="000716C1"/>
    <w:rsid w:val="00077A6C"/>
    <w:rsid w:val="000A07CA"/>
    <w:rsid w:val="000A3D71"/>
    <w:rsid w:val="000C071E"/>
    <w:rsid w:val="000C18CE"/>
    <w:rsid w:val="000D4241"/>
    <w:rsid w:val="000D4845"/>
    <w:rsid w:val="000E0387"/>
    <w:rsid w:val="000E5317"/>
    <w:rsid w:val="000F1B55"/>
    <w:rsid w:val="000F691C"/>
    <w:rsid w:val="0010084E"/>
    <w:rsid w:val="0010135D"/>
    <w:rsid w:val="001102BB"/>
    <w:rsid w:val="00114526"/>
    <w:rsid w:val="00117F0F"/>
    <w:rsid w:val="0012161A"/>
    <w:rsid w:val="0013330D"/>
    <w:rsid w:val="00136ABA"/>
    <w:rsid w:val="00142B3C"/>
    <w:rsid w:val="001520F7"/>
    <w:rsid w:val="001664BF"/>
    <w:rsid w:val="00172CBE"/>
    <w:rsid w:val="0017575B"/>
    <w:rsid w:val="0018466A"/>
    <w:rsid w:val="00184E30"/>
    <w:rsid w:val="001854C4"/>
    <w:rsid w:val="001A4A0C"/>
    <w:rsid w:val="001B15B8"/>
    <w:rsid w:val="001B4CF3"/>
    <w:rsid w:val="001C19CE"/>
    <w:rsid w:val="001C6ADA"/>
    <w:rsid w:val="001D663C"/>
    <w:rsid w:val="001D74B5"/>
    <w:rsid w:val="001E45D4"/>
    <w:rsid w:val="001E7E86"/>
    <w:rsid w:val="00211DCB"/>
    <w:rsid w:val="002128D6"/>
    <w:rsid w:val="0021381F"/>
    <w:rsid w:val="0022250A"/>
    <w:rsid w:val="00224C5A"/>
    <w:rsid w:val="002263A2"/>
    <w:rsid w:val="0023395C"/>
    <w:rsid w:val="00233CD0"/>
    <w:rsid w:val="00237EB6"/>
    <w:rsid w:val="00245E60"/>
    <w:rsid w:val="00246CAB"/>
    <w:rsid w:val="00257404"/>
    <w:rsid w:val="00264439"/>
    <w:rsid w:val="00264934"/>
    <w:rsid w:val="002865CA"/>
    <w:rsid w:val="002A69B9"/>
    <w:rsid w:val="002B52E2"/>
    <w:rsid w:val="002C2838"/>
    <w:rsid w:val="002C29D0"/>
    <w:rsid w:val="002D3A78"/>
    <w:rsid w:val="002F0854"/>
    <w:rsid w:val="002F4D69"/>
    <w:rsid w:val="00324002"/>
    <w:rsid w:val="00334553"/>
    <w:rsid w:val="003435C0"/>
    <w:rsid w:val="003437E6"/>
    <w:rsid w:val="00361656"/>
    <w:rsid w:val="00373F13"/>
    <w:rsid w:val="003776A6"/>
    <w:rsid w:val="003B601B"/>
    <w:rsid w:val="003C68DD"/>
    <w:rsid w:val="003D33AB"/>
    <w:rsid w:val="003D53F8"/>
    <w:rsid w:val="003E3CFE"/>
    <w:rsid w:val="003E48BE"/>
    <w:rsid w:val="003E64D8"/>
    <w:rsid w:val="003E716C"/>
    <w:rsid w:val="00400043"/>
    <w:rsid w:val="004027E9"/>
    <w:rsid w:val="004030D1"/>
    <w:rsid w:val="00417D19"/>
    <w:rsid w:val="0042036D"/>
    <w:rsid w:val="004257B4"/>
    <w:rsid w:val="00426945"/>
    <w:rsid w:val="0044180B"/>
    <w:rsid w:val="0044353E"/>
    <w:rsid w:val="00443D39"/>
    <w:rsid w:val="004443ED"/>
    <w:rsid w:val="00455D42"/>
    <w:rsid w:val="00492436"/>
    <w:rsid w:val="00492F13"/>
    <w:rsid w:val="0049376F"/>
    <w:rsid w:val="00496C70"/>
    <w:rsid w:val="004A2CF0"/>
    <w:rsid w:val="004A33AF"/>
    <w:rsid w:val="004A576B"/>
    <w:rsid w:val="004B76D9"/>
    <w:rsid w:val="004C5241"/>
    <w:rsid w:val="004E246C"/>
    <w:rsid w:val="004E2642"/>
    <w:rsid w:val="004F2E86"/>
    <w:rsid w:val="004F4303"/>
    <w:rsid w:val="004F43D5"/>
    <w:rsid w:val="004F52B0"/>
    <w:rsid w:val="00511DDB"/>
    <w:rsid w:val="0051460C"/>
    <w:rsid w:val="0052230A"/>
    <w:rsid w:val="00527C23"/>
    <w:rsid w:val="00530AB5"/>
    <w:rsid w:val="00533E99"/>
    <w:rsid w:val="005370BB"/>
    <w:rsid w:val="005455B9"/>
    <w:rsid w:val="00547712"/>
    <w:rsid w:val="005549DA"/>
    <w:rsid w:val="0057241A"/>
    <w:rsid w:val="00572585"/>
    <w:rsid w:val="0057334D"/>
    <w:rsid w:val="00575153"/>
    <w:rsid w:val="00591560"/>
    <w:rsid w:val="00591C63"/>
    <w:rsid w:val="005C1918"/>
    <w:rsid w:val="005C2052"/>
    <w:rsid w:val="005C2E25"/>
    <w:rsid w:val="005D0163"/>
    <w:rsid w:val="005D0CB6"/>
    <w:rsid w:val="005D1CB5"/>
    <w:rsid w:val="005D2DF0"/>
    <w:rsid w:val="005E2614"/>
    <w:rsid w:val="005F36A2"/>
    <w:rsid w:val="006018C4"/>
    <w:rsid w:val="00623610"/>
    <w:rsid w:val="00624477"/>
    <w:rsid w:val="00634680"/>
    <w:rsid w:val="00640CC5"/>
    <w:rsid w:val="00643033"/>
    <w:rsid w:val="006513AC"/>
    <w:rsid w:val="00660796"/>
    <w:rsid w:val="0066219B"/>
    <w:rsid w:val="006765A8"/>
    <w:rsid w:val="006771D3"/>
    <w:rsid w:val="00680DDB"/>
    <w:rsid w:val="0068254B"/>
    <w:rsid w:val="00684D89"/>
    <w:rsid w:val="006A1290"/>
    <w:rsid w:val="006A1CE4"/>
    <w:rsid w:val="006B340D"/>
    <w:rsid w:val="006B4A86"/>
    <w:rsid w:val="006C6E56"/>
    <w:rsid w:val="006C7DA0"/>
    <w:rsid w:val="006D7736"/>
    <w:rsid w:val="006E1F8C"/>
    <w:rsid w:val="006E5366"/>
    <w:rsid w:val="006F5434"/>
    <w:rsid w:val="006F7A60"/>
    <w:rsid w:val="0070358E"/>
    <w:rsid w:val="007240F9"/>
    <w:rsid w:val="00725336"/>
    <w:rsid w:val="00733556"/>
    <w:rsid w:val="00745457"/>
    <w:rsid w:val="0075000A"/>
    <w:rsid w:val="0075423F"/>
    <w:rsid w:val="00770281"/>
    <w:rsid w:val="0077460A"/>
    <w:rsid w:val="00774937"/>
    <w:rsid w:val="0078515D"/>
    <w:rsid w:val="0078641B"/>
    <w:rsid w:val="007A014F"/>
    <w:rsid w:val="007A1E78"/>
    <w:rsid w:val="007C0832"/>
    <w:rsid w:val="007C62CF"/>
    <w:rsid w:val="007C7D9A"/>
    <w:rsid w:val="007D06AF"/>
    <w:rsid w:val="007D2FB7"/>
    <w:rsid w:val="007D4AA1"/>
    <w:rsid w:val="007E39D5"/>
    <w:rsid w:val="007F161B"/>
    <w:rsid w:val="007F1F76"/>
    <w:rsid w:val="007F5181"/>
    <w:rsid w:val="007F645D"/>
    <w:rsid w:val="008212CE"/>
    <w:rsid w:val="00824677"/>
    <w:rsid w:val="00824BB3"/>
    <w:rsid w:val="0083256F"/>
    <w:rsid w:val="008348CA"/>
    <w:rsid w:val="00835891"/>
    <w:rsid w:val="00836C1F"/>
    <w:rsid w:val="008456D8"/>
    <w:rsid w:val="008473B2"/>
    <w:rsid w:val="00870A23"/>
    <w:rsid w:val="00887750"/>
    <w:rsid w:val="008926FC"/>
    <w:rsid w:val="00895AEC"/>
    <w:rsid w:val="008A52FE"/>
    <w:rsid w:val="008B01CE"/>
    <w:rsid w:val="008C20DF"/>
    <w:rsid w:val="008C59C7"/>
    <w:rsid w:val="008D0C9F"/>
    <w:rsid w:val="008D0E1C"/>
    <w:rsid w:val="008F3A5D"/>
    <w:rsid w:val="009023C5"/>
    <w:rsid w:val="0091046D"/>
    <w:rsid w:val="00917A44"/>
    <w:rsid w:val="00934650"/>
    <w:rsid w:val="00935365"/>
    <w:rsid w:val="009504FB"/>
    <w:rsid w:val="00950993"/>
    <w:rsid w:val="00956253"/>
    <w:rsid w:val="0096464F"/>
    <w:rsid w:val="0096637D"/>
    <w:rsid w:val="00971D0A"/>
    <w:rsid w:val="009906C5"/>
    <w:rsid w:val="009940CC"/>
    <w:rsid w:val="009976D0"/>
    <w:rsid w:val="009A3A9C"/>
    <w:rsid w:val="009A3FFA"/>
    <w:rsid w:val="009B028F"/>
    <w:rsid w:val="009C3F25"/>
    <w:rsid w:val="009C49DB"/>
    <w:rsid w:val="009D7937"/>
    <w:rsid w:val="009E386E"/>
    <w:rsid w:val="009E64E0"/>
    <w:rsid w:val="009F4F96"/>
    <w:rsid w:val="009F7115"/>
    <w:rsid w:val="00A2169B"/>
    <w:rsid w:val="00A33DE3"/>
    <w:rsid w:val="00A43908"/>
    <w:rsid w:val="00A601D8"/>
    <w:rsid w:val="00AB68AA"/>
    <w:rsid w:val="00AC3860"/>
    <w:rsid w:val="00AC7805"/>
    <w:rsid w:val="00AE2120"/>
    <w:rsid w:val="00AE5170"/>
    <w:rsid w:val="00B06118"/>
    <w:rsid w:val="00B14965"/>
    <w:rsid w:val="00B22AD1"/>
    <w:rsid w:val="00B271D5"/>
    <w:rsid w:val="00B301F8"/>
    <w:rsid w:val="00B451AE"/>
    <w:rsid w:val="00B57109"/>
    <w:rsid w:val="00B65ADD"/>
    <w:rsid w:val="00B66E65"/>
    <w:rsid w:val="00B80A28"/>
    <w:rsid w:val="00B86332"/>
    <w:rsid w:val="00B9613D"/>
    <w:rsid w:val="00BA566D"/>
    <w:rsid w:val="00BA7B88"/>
    <w:rsid w:val="00BB006B"/>
    <w:rsid w:val="00BB7280"/>
    <w:rsid w:val="00BC39D8"/>
    <w:rsid w:val="00BC441D"/>
    <w:rsid w:val="00BD5A75"/>
    <w:rsid w:val="00C0702E"/>
    <w:rsid w:val="00C07EE4"/>
    <w:rsid w:val="00C12C13"/>
    <w:rsid w:val="00C15070"/>
    <w:rsid w:val="00C226D9"/>
    <w:rsid w:val="00C22E78"/>
    <w:rsid w:val="00C26587"/>
    <w:rsid w:val="00C4140A"/>
    <w:rsid w:val="00C46DAB"/>
    <w:rsid w:val="00C54DB0"/>
    <w:rsid w:val="00C6551B"/>
    <w:rsid w:val="00C65E3D"/>
    <w:rsid w:val="00C72742"/>
    <w:rsid w:val="00C7322D"/>
    <w:rsid w:val="00C86121"/>
    <w:rsid w:val="00C904FB"/>
    <w:rsid w:val="00CA5AE8"/>
    <w:rsid w:val="00CA654A"/>
    <w:rsid w:val="00CA716C"/>
    <w:rsid w:val="00CB2D53"/>
    <w:rsid w:val="00CB45DB"/>
    <w:rsid w:val="00CC4D24"/>
    <w:rsid w:val="00CD60C8"/>
    <w:rsid w:val="00CE1B2F"/>
    <w:rsid w:val="00CE2CD2"/>
    <w:rsid w:val="00CF37FC"/>
    <w:rsid w:val="00D008D3"/>
    <w:rsid w:val="00D147DC"/>
    <w:rsid w:val="00D22D48"/>
    <w:rsid w:val="00D355F7"/>
    <w:rsid w:val="00D36160"/>
    <w:rsid w:val="00D37E4A"/>
    <w:rsid w:val="00D41924"/>
    <w:rsid w:val="00D51D05"/>
    <w:rsid w:val="00D53A7D"/>
    <w:rsid w:val="00D629F6"/>
    <w:rsid w:val="00D64985"/>
    <w:rsid w:val="00D90D58"/>
    <w:rsid w:val="00DA0107"/>
    <w:rsid w:val="00DA5D10"/>
    <w:rsid w:val="00DB240A"/>
    <w:rsid w:val="00DB299F"/>
    <w:rsid w:val="00DC5CFF"/>
    <w:rsid w:val="00DD268F"/>
    <w:rsid w:val="00DE3EE1"/>
    <w:rsid w:val="00DF0A1D"/>
    <w:rsid w:val="00DF4CEE"/>
    <w:rsid w:val="00DF502F"/>
    <w:rsid w:val="00DF7B6F"/>
    <w:rsid w:val="00E263FC"/>
    <w:rsid w:val="00E41330"/>
    <w:rsid w:val="00E54E7D"/>
    <w:rsid w:val="00E600C2"/>
    <w:rsid w:val="00E63F59"/>
    <w:rsid w:val="00E643F7"/>
    <w:rsid w:val="00E749DE"/>
    <w:rsid w:val="00E931E4"/>
    <w:rsid w:val="00E97C3C"/>
    <w:rsid w:val="00EA15AE"/>
    <w:rsid w:val="00EA36D2"/>
    <w:rsid w:val="00EA6553"/>
    <w:rsid w:val="00EF0A26"/>
    <w:rsid w:val="00EF60B2"/>
    <w:rsid w:val="00F135E9"/>
    <w:rsid w:val="00F26489"/>
    <w:rsid w:val="00F331B8"/>
    <w:rsid w:val="00F34E14"/>
    <w:rsid w:val="00F37E33"/>
    <w:rsid w:val="00F47B82"/>
    <w:rsid w:val="00F653F9"/>
    <w:rsid w:val="00F65C7E"/>
    <w:rsid w:val="00F67E2F"/>
    <w:rsid w:val="00F70DF1"/>
    <w:rsid w:val="00F70F1D"/>
    <w:rsid w:val="00F7482C"/>
    <w:rsid w:val="00F9251D"/>
    <w:rsid w:val="00F9308A"/>
    <w:rsid w:val="00F9609E"/>
    <w:rsid w:val="00FA139F"/>
    <w:rsid w:val="00FA2113"/>
    <w:rsid w:val="00FA5517"/>
    <w:rsid w:val="00FC0FD1"/>
    <w:rsid w:val="00FC23F1"/>
    <w:rsid w:val="00FF20CD"/>
    <w:rsid w:val="00FF716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E6FD09"/>
  <w15:docId w15:val="{380B6B93-10B4-CD44-AE9D-5C252AE6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/>
    <w:lsdException w:name="heading 6" w:locked="0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63F59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257B4"/>
    <w:pPr>
      <w:keepNext/>
      <w:keepLines/>
      <w:spacing w:before="360" w:line="240" w:lineRule="auto"/>
      <w:outlineLvl w:val="0"/>
    </w:pPr>
    <w:rPr>
      <w:rFonts w:ascii="Arial" w:eastAsia="Batang" w:hAnsi="Arial" w:cs="Arial"/>
      <w:bCs/>
      <w:sz w:val="46"/>
      <w:szCs w:val="32"/>
    </w:rPr>
  </w:style>
  <w:style w:type="paragraph" w:styleId="Heading2">
    <w:name w:val="heading 2"/>
    <w:basedOn w:val="Heading1"/>
    <w:next w:val="Normal"/>
    <w:link w:val="Heading2Char"/>
    <w:qFormat/>
    <w:rsid w:val="004257B4"/>
    <w:pPr>
      <w:spacing w:before="240"/>
      <w:outlineLvl w:val="1"/>
    </w:pPr>
    <w:rPr>
      <w:bCs w:val="0"/>
      <w:iCs/>
      <w:sz w:val="36"/>
      <w:szCs w:val="28"/>
    </w:rPr>
  </w:style>
  <w:style w:type="paragraph" w:styleId="Heading3">
    <w:name w:val="heading 3"/>
    <w:basedOn w:val="Heading2"/>
    <w:next w:val="Normal"/>
    <w:link w:val="Heading3Char"/>
    <w:qFormat/>
    <w:rsid w:val="004257B4"/>
    <w:pPr>
      <w:outlineLvl w:val="2"/>
    </w:pPr>
    <w:rPr>
      <w:bCs/>
      <w:sz w:val="28"/>
      <w:szCs w:val="26"/>
    </w:rPr>
  </w:style>
  <w:style w:type="paragraph" w:styleId="Heading4">
    <w:name w:val="heading 4"/>
    <w:next w:val="Normal"/>
    <w:link w:val="Heading4Char"/>
    <w:unhideWhenUsed/>
    <w:qFormat/>
    <w:rsid w:val="004257B4"/>
    <w:pPr>
      <w:spacing w:before="360" w:after="120" w:line="240" w:lineRule="auto"/>
      <w:outlineLvl w:val="3"/>
    </w:pPr>
    <w:rPr>
      <w:rFonts w:ascii="Arial" w:eastAsia="Batang" w:hAnsi="Arial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257B4"/>
    <w:rPr>
      <w:rFonts w:ascii="Arial" w:eastAsia="Batang" w:hAnsi="Arial" w:cs="Arial"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257B4"/>
    <w:rPr>
      <w:rFonts w:ascii="Arial" w:eastAsia="Batang" w:hAnsi="Arial" w:cs="Arial"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4257B4"/>
    <w:rPr>
      <w:rFonts w:ascii="Arial" w:eastAsia="Batang" w:hAnsi="Arial" w:cs="Arial"/>
      <w:bCs/>
      <w:i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4257B4"/>
    <w:rPr>
      <w:rFonts w:ascii="Arial" w:eastAsia="Batang" w:hAnsi="Arial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customStyle="1" w:styleId="Instructions">
    <w:name w:val="Instructions"/>
    <w:basedOn w:val="Normal"/>
    <w:link w:val="InstructionsChar"/>
    <w:rsid w:val="00E749DE"/>
    <w:rPr>
      <w:color w:val="FF0000"/>
    </w:rPr>
  </w:style>
  <w:style w:type="paragraph" w:customStyle="1" w:styleId="Instructionsbulleted">
    <w:name w:val="Instructions bulleted"/>
    <w:basedOn w:val="Bulletedtext"/>
    <w:link w:val="InstructionsbulletedChar"/>
    <w:rsid w:val="00E749DE"/>
    <w:rPr>
      <w:color w:val="FF000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Bulletedtext">
    <w:name w:val="Bulleted text"/>
    <w:basedOn w:val="Normal"/>
    <w:link w:val="BulletedtextChar"/>
    <w:qFormat/>
    <w:rsid w:val="0022250A"/>
    <w:pPr>
      <w:numPr>
        <w:numId w:val="9"/>
      </w:numPr>
      <w:spacing w:after="60"/>
    </w:pPr>
  </w:style>
  <w:style w:type="paragraph" w:customStyle="1" w:styleId="Bulletedtextlevel2">
    <w:name w:val="Bulleted text ( level 2)"/>
    <w:basedOn w:val="Bulletedtext"/>
    <w:qFormat/>
    <w:rsid w:val="00A33DE3"/>
    <w:pPr>
      <w:numPr>
        <w:numId w:val="12"/>
      </w:numPr>
      <w:ind w:left="851" w:hanging="425"/>
    </w:pPr>
  </w:style>
  <w:style w:type="paragraph" w:styleId="Title">
    <w:name w:val="Title"/>
    <w:basedOn w:val="Heading1"/>
    <w:next w:val="Normal"/>
    <w:link w:val="TitleChar"/>
    <w:uiPriority w:val="10"/>
    <w:qFormat/>
    <w:rsid w:val="004257B4"/>
    <w:pPr>
      <w:spacing w:before="1920"/>
    </w:pPr>
    <w:rPr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4257B4"/>
    <w:rPr>
      <w:rFonts w:ascii="Arial" w:eastAsia="Batang" w:hAnsi="Arial" w:cs="Arial"/>
      <w:b/>
      <w:bCs/>
      <w:sz w:val="5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7B4"/>
    <w:pPr>
      <w:keepNext/>
      <w:spacing w:after="600" w:line="240" w:lineRule="auto"/>
      <w:outlineLvl w:val="1"/>
    </w:pPr>
    <w:rPr>
      <w:rFonts w:ascii="Arial" w:hAnsi="Arial" w:cs="Arial"/>
      <w:bCs/>
      <w:iCs/>
      <w:color w:val="000000" w:themeColor="text1"/>
      <w:sz w:val="4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7B4"/>
    <w:rPr>
      <w:rFonts w:ascii="Arial" w:hAnsi="Arial" w:cs="Arial"/>
      <w:bCs/>
      <w:iCs/>
      <w:color w:val="000000" w:themeColor="text1"/>
      <w:sz w:val="40"/>
      <w:szCs w:val="28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table" w:styleId="TableGridLight">
    <w:name w:val="Grid Table Light"/>
    <w:basedOn w:val="TableNormal"/>
    <w:uiPriority w:val="40"/>
    <w:rsid w:val="00E643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1">
    <w:name w:val="List Table 2 Accent 1"/>
    <w:basedOn w:val="TableNormal"/>
    <w:uiPriority w:val="47"/>
    <w:rsid w:val="00E643F7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customStyle="1" w:styleId="Numberedlist">
    <w:name w:val="Numbered list"/>
    <w:basedOn w:val="Normal"/>
    <w:link w:val="NumberedlistChar"/>
    <w:qFormat/>
    <w:rsid w:val="005549DA"/>
    <w:pPr>
      <w:numPr>
        <w:numId w:val="4"/>
      </w:numPr>
      <w:ind w:left="357" w:hanging="357"/>
      <w:contextualSpacing/>
    </w:pPr>
  </w:style>
  <w:style w:type="character" w:customStyle="1" w:styleId="NumberedlistChar">
    <w:name w:val="Numbered list Char"/>
    <w:basedOn w:val="DefaultParagraphFont"/>
    <w:link w:val="Numberedlist"/>
    <w:rsid w:val="005549DA"/>
    <w:rPr>
      <w:rFonts w:ascii="Calibri" w:hAnsi="Calibri" w:cs="Calibr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47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47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B82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47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B82"/>
    <w:rPr>
      <w:rFonts w:ascii="Calibri" w:hAnsi="Calibri" w:cs="Calibri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2C2838"/>
    <w:rPr>
      <w:color w:val="0000FF"/>
      <w:u w:val="single"/>
    </w:rPr>
  </w:style>
  <w:style w:type="table" w:styleId="GridTable4-Accent1">
    <w:name w:val="Grid Table 4 Accent 1"/>
    <w:basedOn w:val="TableNormal"/>
    <w:uiPriority w:val="49"/>
    <w:rsid w:val="00117F0F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E643F7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bottom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character" w:customStyle="1" w:styleId="InstructionsChar">
    <w:name w:val="Instructions Char"/>
    <w:basedOn w:val="DefaultParagraphFont"/>
    <w:link w:val="Instructions"/>
    <w:rsid w:val="005549DA"/>
    <w:rPr>
      <w:rFonts w:ascii="Calibri" w:hAnsi="Calibri" w:cs="Calibri"/>
      <w:color w:val="FF0000"/>
      <w:lang w:eastAsia="en-AU"/>
    </w:rPr>
  </w:style>
  <w:style w:type="character" w:customStyle="1" w:styleId="BulletedtextChar">
    <w:name w:val="Bulleted text Char"/>
    <w:basedOn w:val="DefaultParagraphFont"/>
    <w:link w:val="Bulletedtext"/>
    <w:rsid w:val="00E749DE"/>
    <w:rPr>
      <w:rFonts w:ascii="Calibri" w:hAnsi="Calibri" w:cs="Calibri"/>
      <w:lang w:eastAsia="en-AU"/>
    </w:rPr>
  </w:style>
  <w:style w:type="character" w:customStyle="1" w:styleId="InstructionsbulletedChar">
    <w:name w:val="Instructions bulleted Char"/>
    <w:basedOn w:val="BulletedtextChar"/>
    <w:link w:val="Instructionsbulleted"/>
    <w:rsid w:val="00E749DE"/>
    <w:rPr>
      <w:rFonts w:ascii="Calibri" w:hAnsi="Calibri" w:cs="Calibri"/>
      <w:color w:val="FF0000"/>
      <w:lang w:eastAsia="en-AU"/>
    </w:rPr>
  </w:style>
  <w:style w:type="paragraph" w:customStyle="1" w:styleId="TableTextNormal">
    <w:name w:val="Table Text Normal"/>
    <w:link w:val="TableTextNormalChar"/>
    <w:uiPriority w:val="99"/>
    <w:qFormat/>
    <w:rsid w:val="001E7E86"/>
    <w:pPr>
      <w:spacing w:before="80" w:after="80" w:line="240" w:lineRule="auto"/>
    </w:pPr>
    <w:rPr>
      <w:bCs/>
      <w:szCs w:val="20"/>
      <w:lang w:val="en-GB"/>
    </w:rPr>
  </w:style>
  <w:style w:type="character" w:customStyle="1" w:styleId="TableTextNormalChar">
    <w:name w:val="Table Text Normal Char"/>
    <w:basedOn w:val="DefaultParagraphFont"/>
    <w:link w:val="TableTextNormal"/>
    <w:uiPriority w:val="99"/>
    <w:locked/>
    <w:rsid w:val="001E7E86"/>
    <w:rPr>
      <w:bCs/>
      <w:szCs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"/>
    <w:qFormat/>
    <w:rsid w:val="0002159B"/>
    <w:pPr>
      <w:numPr>
        <w:numId w:val="11"/>
      </w:numPr>
      <w:ind w:left="709" w:hanging="709"/>
    </w:pPr>
  </w:style>
  <w:style w:type="paragraph" w:styleId="ListBullet">
    <w:name w:val="List Bullet"/>
    <w:basedOn w:val="Normal"/>
    <w:uiPriority w:val="99"/>
    <w:semiHidden/>
    <w:unhideWhenUsed/>
    <w:locked/>
    <w:rsid w:val="00037804"/>
    <w:pPr>
      <w:numPr>
        <w:numId w:val="10"/>
      </w:numPr>
      <w:contextualSpacing/>
    </w:pPr>
  </w:style>
  <w:style w:type="character" w:customStyle="1" w:styleId="AppendixHeading1Char">
    <w:name w:val="Appendix Heading 1 Char"/>
    <w:basedOn w:val="Heading1Char"/>
    <w:link w:val="AppendixHeading1"/>
    <w:rsid w:val="0002159B"/>
    <w:rPr>
      <w:rFonts w:ascii="Calibri" w:eastAsia="Batang" w:hAnsi="Calibri" w:cs="Arial"/>
      <w:b w:val="0"/>
      <w:bCs/>
      <w:color w:val="3C3E97"/>
      <w:sz w:val="46"/>
      <w:szCs w:val="32"/>
      <w:lang w:eastAsia="en-AU"/>
    </w:rPr>
  </w:style>
  <w:style w:type="paragraph" w:styleId="Revision">
    <w:name w:val="Revision"/>
    <w:hidden/>
    <w:uiPriority w:val="99"/>
    <w:semiHidden/>
    <w:rsid w:val="000E0387"/>
    <w:pPr>
      <w:spacing w:after="0" w:line="240" w:lineRule="auto"/>
    </w:pPr>
    <w:rPr>
      <w:rFonts w:ascii="Calibri" w:hAnsi="Calibri" w:cs="Calibri"/>
      <w:lang w:eastAsia="en-AU"/>
    </w:rPr>
  </w:style>
  <w:style w:type="paragraph" w:styleId="NormalWeb">
    <w:name w:val="Normal (Web)"/>
    <w:basedOn w:val="Normal"/>
    <w:uiPriority w:val="99"/>
    <w:semiHidden/>
    <w:unhideWhenUsed/>
    <w:locked/>
    <w:rsid w:val="0082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style">
    <w:name w:val="Table 2 style"/>
    <w:basedOn w:val="Normal"/>
    <w:link w:val="Table2styleChar"/>
    <w:autoRedefine/>
    <w:qFormat/>
    <w:rsid w:val="00BC39D8"/>
    <w:pPr>
      <w:spacing w:before="60" w:after="60" w:line="240" w:lineRule="auto"/>
      <w:jc w:val="both"/>
    </w:pPr>
    <w:rPr>
      <w:rFonts w:eastAsia="Times New Roman" w:cs="Arial"/>
    </w:rPr>
  </w:style>
  <w:style w:type="character" w:customStyle="1" w:styleId="Table2styleChar">
    <w:name w:val="Table 2 style Char"/>
    <w:basedOn w:val="DefaultParagraphFont"/>
    <w:link w:val="Table2style"/>
    <w:rsid w:val="00BC39D8"/>
    <w:rPr>
      <w:rFonts w:ascii="Calibri" w:eastAsia="Times New Roman" w:hAnsi="Calibri" w:cs="Arial"/>
      <w:lang w:eastAsia="en-AU"/>
    </w:rPr>
  </w:style>
  <w:style w:type="table" w:styleId="GridTable4-Accent5">
    <w:name w:val="Grid Table 4 Accent 5"/>
    <w:basedOn w:val="TableNormal"/>
    <w:uiPriority w:val="49"/>
    <w:rsid w:val="006C6E56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0E5317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A33DE3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3C3E97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paragraph" w:customStyle="1" w:styleId="Boxedtext">
    <w:name w:val="Boxed text"/>
    <w:qFormat/>
    <w:rsid w:val="002C29D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C8EACF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2C29D0"/>
    <w:pPr>
      <w:pBdr>
        <w:left w:val="single" w:sz="36" w:space="4" w:color="C8EACF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9D0"/>
    <w:rPr>
      <w:rFonts w:ascii="Calibri" w:hAnsi="Calibri" w:cs="Calibri"/>
      <w:i/>
      <w:iCs/>
      <w:color w:val="404040" w:themeColor="text1" w:themeTint="BF"/>
      <w:lang w:eastAsia="en-AU"/>
    </w:rPr>
  </w:style>
  <w:style w:type="table" w:styleId="ListTable3-Accent6">
    <w:name w:val="List Table 3 Accent 6"/>
    <w:basedOn w:val="TableNormal"/>
    <w:uiPriority w:val="48"/>
    <w:rsid w:val="0022250A"/>
    <w:pPr>
      <w:spacing w:after="0" w:line="240" w:lineRule="auto"/>
    </w:pPr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locked/>
    <w:rsid w:val="00EF0A2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F0A26"/>
    <w:rPr>
      <w:rFonts w:eastAsiaTheme="minorEastAsia"/>
      <w:lang w:val="en-US"/>
    </w:rPr>
  </w:style>
  <w:style w:type="character" w:customStyle="1" w:styleId="Title-Secondline">
    <w:name w:val="Title - Second line"/>
    <w:basedOn w:val="TitleChar"/>
    <w:uiPriority w:val="1"/>
    <w:qFormat/>
    <w:rsid w:val="00DA0107"/>
    <w:rPr>
      <w:rFonts w:ascii="Arial" w:eastAsia="Batang" w:hAnsi="Arial" w:cs="Arial"/>
      <w:b w:val="0"/>
      <w:bCs/>
      <w:color w:val="3CB655"/>
      <w:sz w:val="96"/>
      <w:szCs w:val="32"/>
      <w:lang w:eastAsia="en-AU"/>
    </w:rPr>
  </w:style>
  <w:style w:type="character" w:customStyle="1" w:styleId="ListParagraphChar">
    <w:name w:val="List Paragraph Char"/>
    <w:aliases w:val="CAB - List Bullet Char,List Bullet Cab Char,Bullet point Char,Bullets Char,CV text Char,Dot pt Char,F5 List Paragraph Char,FooterText Char,L Char,List Paragraph1 Char,List Paragraph11 Char,List Paragraph111 Char,List Paragraph2 Char"/>
    <w:basedOn w:val="DefaultParagraphFont"/>
    <w:link w:val="ListParagraph"/>
    <w:uiPriority w:val="34"/>
    <w:qFormat/>
    <w:locked/>
    <w:rsid w:val="008A52FE"/>
    <w:rPr>
      <w:rFonts w:ascii="Arial" w:hAnsi="Arial" w:cs="Arial"/>
    </w:rPr>
  </w:style>
  <w:style w:type="paragraph" w:styleId="ListParagraph">
    <w:name w:val="List Paragraph"/>
    <w:aliases w:val="CAB - List Bullet,List Bullet Cab,Bullet point,Bullets,CV text,Dot pt,F5 List Paragraph,FooterText,L,List Paragraph1,List Paragraph11,List Paragraph111,List Paragraph2,Medium Grid 1 - Accent 21,NAST Quote,NFP GP Bulleted List,Table text,列"/>
    <w:basedOn w:val="BodyText"/>
    <w:link w:val="ListParagraphChar"/>
    <w:uiPriority w:val="34"/>
    <w:qFormat/>
    <w:locked/>
    <w:rsid w:val="008A52FE"/>
    <w:pPr>
      <w:tabs>
        <w:tab w:val="left" w:pos="851"/>
      </w:tabs>
      <w:spacing w:after="0" w:line="240" w:lineRule="auto"/>
      <w:ind w:left="851" w:hanging="284"/>
      <w:contextualSpacing/>
    </w:pPr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8A52FE"/>
  </w:style>
  <w:style w:type="character" w:customStyle="1" w:styleId="BodyTextChar">
    <w:name w:val="Body Text Char"/>
    <w:basedOn w:val="DefaultParagraphFont"/>
    <w:link w:val="BodyText"/>
    <w:semiHidden/>
    <w:rsid w:val="008A52FE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hart" Target="charts/chart5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C645\Desktop\Workplace%20relations%20Taskforce\Focus%20Group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C645\Desktop\Workplace%20relations%20Taskforce\Focus%20Group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PSC645\Desktop\Workplace%20relations%20Taskforce\Focus%20Group%20Da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PSC645\Desktop\Workplace%20relations%20Taskforce\Focus%20Group%20Data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C645\Desktop\Workplace%20relations%20Taskforce\Focus%20Group%20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PSC645\Desktop\Workplace%20relations%20Taskforce\Focus%20Group%20Data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PSC645\Desktop\Workplace%20relations%20Taskforce\Focus%20Group%20Data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PSC645\Desktop\Workplace%20relations%20Taskforce\Focus%20Group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WHAT TERMS SHOULD BE COMMON?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ln w="57150">
              <a:solidFill>
                <a:schemeClr val="bg1"/>
              </a:solidFill>
            </a:ln>
          </c:spPr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42000"/>
                      <a:tint val="96000"/>
                      <a:lumMod val="100000"/>
                    </a:schemeClr>
                  </a:gs>
                  <a:gs pos="78000">
                    <a:schemeClr val="accent2">
                      <a:shade val="42000"/>
                      <a:shade val="94000"/>
                      <a:lumMod val="94000"/>
                    </a:schemeClr>
                  </a:gs>
                </a:gsLst>
                <a:lin ang="5400000" scaled="0"/>
              </a:gradFill>
              <a:ln w="57150">
                <a:solidFill>
                  <a:schemeClr val="bg1"/>
                </a:solidFill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/>
              </a:scene3d>
              <a:sp3d prstMaterial="plastic">
                <a:bevelT w="0" h="0"/>
              </a:sp3d>
            </c:spPr>
            <c:extLst>
              <c:ext xmlns:c16="http://schemas.microsoft.com/office/drawing/2014/chart" uri="{C3380CC4-5D6E-409C-BE32-E72D297353CC}">
                <c16:uniqueId val="{00000001-5C71-421B-8456-FA5C62D144E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5000"/>
                      <a:tint val="96000"/>
                      <a:lumMod val="100000"/>
                    </a:schemeClr>
                  </a:gs>
                  <a:gs pos="78000">
                    <a:schemeClr val="accent2">
                      <a:shade val="55000"/>
                      <a:shade val="94000"/>
                      <a:lumMod val="94000"/>
                    </a:schemeClr>
                  </a:gs>
                </a:gsLst>
                <a:lin ang="5400000" scaled="0"/>
              </a:gradFill>
              <a:ln w="57150">
                <a:solidFill>
                  <a:schemeClr val="bg1"/>
                </a:solidFill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/>
              </a:scene3d>
              <a:sp3d prstMaterial="plastic">
                <a:bevelT w="0" h="0"/>
              </a:sp3d>
            </c:spPr>
            <c:extLst>
              <c:ext xmlns:c16="http://schemas.microsoft.com/office/drawing/2014/chart" uri="{C3380CC4-5D6E-409C-BE32-E72D297353CC}">
                <c16:uniqueId val="{00000003-5C71-421B-8456-FA5C62D144E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hade val="68000"/>
                      <a:tint val="96000"/>
                      <a:lumMod val="100000"/>
                    </a:schemeClr>
                  </a:gs>
                  <a:gs pos="78000">
                    <a:schemeClr val="accent2">
                      <a:shade val="68000"/>
                      <a:shade val="94000"/>
                      <a:lumMod val="94000"/>
                    </a:schemeClr>
                  </a:gs>
                </a:gsLst>
                <a:lin ang="5400000" scaled="0"/>
              </a:gradFill>
              <a:ln w="57150">
                <a:solidFill>
                  <a:schemeClr val="bg1"/>
                </a:solidFill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/>
              </a:scene3d>
              <a:sp3d prstMaterial="plastic">
                <a:bevelT w="0" h="0"/>
              </a:sp3d>
            </c:spPr>
            <c:extLst>
              <c:ext xmlns:c16="http://schemas.microsoft.com/office/drawing/2014/chart" uri="{C3380CC4-5D6E-409C-BE32-E72D297353CC}">
                <c16:uniqueId val="{00000005-5C71-421B-8456-FA5C62D144E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shade val="80000"/>
                      <a:tint val="96000"/>
                      <a:lumMod val="100000"/>
                    </a:schemeClr>
                  </a:gs>
                  <a:gs pos="78000">
                    <a:schemeClr val="accent2">
                      <a:shade val="80000"/>
                      <a:shade val="94000"/>
                      <a:lumMod val="94000"/>
                    </a:schemeClr>
                  </a:gs>
                </a:gsLst>
                <a:lin ang="5400000" scaled="0"/>
              </a:gradFill>
              <a:ln w="57150">
                <a:solidFill>
                  <a:schemeClr val="bg1"/>
                </a:solidFill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/>
              </a:scene3d>
              <a:sp3d prstMaterial="plastic">
                <a:bevelT w="0" h="0"/>
              </a:sp3d>
            </c:spPr>
            <c:extLst>
              <c:ext xmlns:c16="http://schemas.microsoft.com/office/drawing/2014/chart" uri="{C3380CC4-5D6E-409C-BE32-E72D297353CC}">
                <c16:uniqueId val="{00000007-5C71-421B-8456-FA5C62D144E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shade val="93000"/>
                      <a:tint val="96000"/>
                      <a:lumMod val="100000"/>
                    </a:schemeClr>
                  </a:gs>
                  <a:gs pos="78000">
                    <a:schemeClr val="accent2">
                      <a:shade val="93000"/>
                      <a:shade val="94000"/>
                      <a:lumMod val="94000"/>
                    </a:schemeClr>
                  </a:gs>
                </a:gsLst>
                <a:lin ang="5400000" scaled="0"/>
              </a:gradFill>
              <a:ln w="57150">
                <a:solidFill>
                  <a:schemeClr val="bg1"/>
                </a:solidFill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/>
              </a:scene3d>
              <a:sp3d prstMaterial="plastic">
                <a:bevelT w="0" h="0"/>
              </a:sp3d>
            </c:spPr>
            <c:extLst>
              <c:ext xmlns:c16="http://schemas.microsoft.com/office/drawing/2014/chart" uri="{C3380CC4-5D6E-409C-BE32-E72D297353CC}">
                <c16:uniqueId val="{00000009-5C71-421B-8456-FA5C62D144E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2">
                      <a:tint val="94000"/>
                      <a:tint val="96000"/>
                      <a:lumMod val="100000"/>
                    </a:schemeClr>
                  </a:gs>
                  <a:gs pos="78000">
                    <a:schemeClr val="accent2">
                      <a:tint val="94000"/>
                      <a:shade val="94000"/>
                      <a:lumMod val="94000"/>
                    </a:schemeClr>
                  </a:gs>
                </a:gsLst>
                <a:lin ang="5400000" scaled="0"/>
              </a:gradFill>
              <a:ln w="57150">
                <a:solidFill>
                  <a:schemeClr val="bg1"/>
                </a:solidFill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/>
              </a:scene3d>
              <a:sp3d prstMaterial="plastic">
                <a:bevelT w="0" h="0"/>
              </a:sp3d>
            </c:spPr>
            <c:extLst>
              <c:ext xmlns:c16="http://schemas.microsoft.com/office/drawing/2014/chart" uri="{C3380CC4-5D6E-409C-BE32-E72D297353CC}">
                <c16:uniqueId val="{0000000B-5C71-421B-8456-FA5C62D144E4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2">
                      <a:tint val="81000"/>
                      <a:tint val="96000"/>
                      <a:lumMod val="100000"/>
                    </a:schemeClr>
                  </a:gs>
                  <a:gs pos="78000">
                    <a:schemeClr val="accent2">
                      <a:tint val="81000"/>
                      <a:shade val="94000"/>
                      <a:lumMod val="94000"/>
                    </a:schemeClr>
                  </a:gs>
                </a:gsLst>
                <a:lin ang="5400000" scaled="0"/>
              </a:gradFill>
              <a:ln w="57150">
                <a:solidFill>
                  <a:schemeClr val="bg1"/>
                </a:solidFill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/>
              </a:scene3d>
              <a:sp3d prstMaterial="plastic">
                <a:bevelT w="0" h="0"/>
              </a:sp3d>
            </c:spPr>
            <c:extLst>
              <c:ext xmlns:c16="http://schemas.microsoft.com/office/drawing/2014/chart" uri="{C3380CC4-5D6E-409C-BE32-E72D297353CC}">
                <c16:uniqueId val="{0000000D-5C71-421B-8456-FA5C62D144E4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tint val="69000"/>
                      <a:tint val="96000"/>
                      <a:lumMod val="100000"/>
                    </a:schemeClr>
                  </a:gs>
                  <a:gs pos="78000">
                    <a:schemeClr val="accent2">
                      <a:tint val="69000"/>
                      <a:shade val="94000"/>
                      <a:lumMod val="94000"/>
                    </a:schemeClr>
                  </a:gs>
                </a:gsLst>
                <a:lin ang="5400000" scaled="0"/>
              </a:gradFill>
              <a:ln w="57150">
                <a:solidFill>
                  <a:schemeClr val="bg1"/>
                </a:solidFill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/>
              </a:scene3d>
              <a:sp3d prstMaterial="plastic">
                <a:bevelT w="0" h="0"/>
              </a:sp3d>
            </c:spPr>
            <c:extLst>
              <c:ext xmlns:c16="http://schemas.microsoft.com/office/drawing/2014/chart" uri="{C3380CC4-5D6E-409C-BE32-E72D297353CC}">
                <c16:uniqueId val="{0000000F-5C71-421B-8456-FA5C62D144E4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2">
                      <a:tint val="56000"/>
                      <a:tint val="96000"/>
                      <a:lumMod val="100000"/>
                    </a:schemeClr>
                  </a:gs>
                  <a:gs pos="78000">
                    <a:schemeClr val="accent2">
                      <a:tint val="56000"/>
                      <a:shade val="94000"/>
                      <a:lumMod val="94000"/>
                    </a:schemeClr>
                  </a:gs>
                </a:gsLst>
                <a:lin ang="5400000" scaled="0"/>
              </a:gradFill>
              <a:ln w="57150">
                <a:solidFill>
                  <a:schemeClr val="bg1"/>
                </a:solidFill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/>
              </a:scene3d>
              <a:sp3d prstMaterial="plastic">
                <a:bevelT w="0" h="0"/>
              </a:sp3d>
            </c:spPr>
            <c:extLst>
              <c:ext xmlns:c16="http://schemas.microsoft.com/office/drawing/2014/chart" uri="{C3380CC4-5D6E-409C-BE32-E72D297353CC}">
                <c16:uniqueId val="{00000011-5C71-421B-8456-FA5C62D144E4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2">
                      <a:tint val="43000"/>
                      <a:tint val="96000"/>
                      <a:lumMod val="100000"/>
                    </a:schemeClr>
                  </a:gs>
                  <a:gs pos="78000">
                    <a:schemeClr val="accent2">
                      <a:tint val="43000"/>
                      <a:shade val="94000"/>
                      <a:lumMod val="94000"/>
                    </a:schemeClr>
                  </a:gs>
                </a:gsLst>
                <a:lin ang="5400000" scaled="0"/>
              </a:gradFill>
              <a:ln w="57150">
                <a:solidFill>
                  <a:schemeClr val="bg1"/>
                </a:solidFill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/>
              </a:scene3d>
              <a:sp3d prstMaterial="plastic">
                <a:bevelT w="0" h="0"/>
              </a:sp3d>
            </c:spPr>
            <c:extLst>
              <c:ext xmlns:c16="http://schemas.microsoft.com/office/drawing/2014/chart" uri="{C3380CC4-5D6E-409C-BE32-E72D297353CC}">
                <c16:uniqueId val="{00000013-5C71-421B-8456-FA5C62D144E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9"/>
                <c:pt idx="0">
                  <c:v>Leave</c:v>
                </c:pt>
                <c:pt idx="1">
                  <c:v>Allowances</c:v>
                </c:pt>
                <c:pt idx="2">
                  <c:v>Flexibility Provisions - IE: WFH</c:v>
                </c:pt>
                <c:pt idx="3">
                  <c:v>Pay</c:v>
                </c:pt>
                <c:pt idx="4">
                  <c:v>Redundency, redeployment and retrenchment  </c:v>
                </c:pt>
                <c:pt idx="5">
                  <c:v>Super</c:v>
                </c:pt>
                <c:pt idx="6">
                  <c:v>Overtime</c:v>
                </c:pt>
                <c:pt idx="7">
                  <c:v>Consultation</c:v>
                </c:pt>
                <c:pt idx="8">
                  <c:v>Hours of Work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51</c:v>
                </c:pt>
                <c:pt idx="1">
                  <c:v>20</c:v>
                </c:pt>
                <c:pt idx="2">
                  <c:v>20</c:v>
                </c:pt>
                <c:pt idx="3">
                  <c:v>19</c:v>
                </c:pt>
                <c:pt idx="4">
                  <c:v>18</c:v>
                </c:pt>
                <c:pt idx="5">
                  <c:v>18</c:v>
                </c:pt>
                <c:pt idx="6">
                  <c:v>14</c:v>
                </c:pt>
                <c:pt idx="7">
                  <c:v>11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C71-421B-8456-FA5C62D144E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200"/>
              <a:t>What Terms Should be agency-specific</a:t>
            </a:r>
            <a:r>
              <a:rPr lang="en-AU" sz="1600"/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pattFill prst="narVert">
              <a:fgClr>
                <a:schemeClr val="accent1">
                  <a:tint val="77000"/>
                </a:schemeClr>
              </a:fgClr>
              <a:bgClr>
                <a:schemeClr val="accent1">
                  <a:tint val="77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>
                  <a:tint val="77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Sheet1!$A$18:$A$27</c:f>
              <c:strCache>
                <c:ptCount val="10"/>
                <c:pt idx="0">
                  <c:v>Agency specific allowances/payments (retention $)</c:v>
                </c:pt>
                <c:pt idx="1">
                  <c:v>Flexibility provisions - IE: WFH</c:v>
                </c:pt>
                <c:pt idx="2">
                  <c:v>Allowances</c:v>
                </c:pt>
                <c:pt idx="3">
                  <c:v>Hours of work</c:v>
                </c:pt>
                <c:pt idx="4">
                  <c:v>Performance management</c:v>
                </c:pt>
                <c:pt idx="5">
                  <c:v>Christmas shutdown</c:v>
                </c:pt>
                <c:pt idx="6">
                  <c:v>Flexibility to pay more for hard to fill/specialist roles</c:v>
                </c:pt>
                <c:pt idx="7">
                  <c:v>Shift work provisions</c:v>
                </c:pt>
                <c:pt idx="8">
                  <c:v>Broad banding</c:v>
                </c:pt>
                <c:pt idx="9">
                  <c:v>Overtime</c:v>
                </c:pt>
              </c:strCache>
            </c:strRef>
          </c:cat>
          <c:val>
            <c:numRef>
              <c:f>Sheet1!$C$18:$C$27</c:f>
              <c:numCache>
                <c:formatCode>0%</c:formatCode>
                <c:ptCount val="10"/>
                <c:pt idx="0">
                  <c:v>0.16800000000000001</c:v>
                </c:pt>
                <c:pt idx="1">
                  <c:v>0.152</c:v>
                </c:pt>
                <c:pt idx="2">
                  <c:v>0.14399999999999999</c:v>
                </c:pt>
                <c:pt idx="3">
                  <c:v>0.13600000000000001</c:v>
                </c:pt>
                <c:pt idx="4">
                  <c:v>0.08</c:v>
                </c:pt>
                <c:pt idx="5">
                  <c:v>7.1999999999999995E-2</c:v>
                </c:pt>
                <c:pt idx="6">
                  <c:v>6.4000000000000001E-2</c:v>
                </c:pt>
                <c:pt idx="7">
                  <c:v>6.4000000000000001E-2</c:v>
                </c:pt>
                <c:pt idx="8">
                  <c:v>6.4000000000000001E-2</c:v>
                </c:pt>
                <c:pt idx="9">
                  <c:v>5.6000000000000001E-2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EF-47CA-8FA9-CC327C505BD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521264072"/>
        <c:axId val="5212663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pattFill prst="narVert">
                    <a:fgClr>
                      <a:schemeClr val="accent1">
                        <a:shade val="76000"/>
                      </a:schemeClr>
                    </a:fgClr>
                    <a:bgClr>
                      <a:schemeClr val="accent1">
                        <a:shade val="76000"/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1">
                        <a:shade val="76000"/>
                      </a:schemeClr>
                    </a:innerShdw>
                  </a:effectLst>
                </c:spPr>
                <c:invertIfNegative val="0"/>
                <c:dLbls>
                  <c:dLbl>
                    <c:idx val="0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1-02EF-47CA-8FA9-CC327C505BD0}"/>
                      </c:ext>
                    </c:extLst>
                  </c:dLbl>
                  <c:dLbl>
                    <c:idx val="1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2-02EF-47CA-8FA9-CC327C505BD0}"/>
                      </c:ext>
                    </c:extLst>
                  </c:dLbl>
                  <c:dLbl>
                    <c:idx val="2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3-02EF-47CA-8FA9-CC327C505BD0}"/>
                      </c:ext>
                    </c:extLst>
                  </c:dLbl>
                  <c:dLbl>
                    <c:idx val="3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4-02EF-47CA-8FA9-CC327C505BD0}"/>
                      </c:ext>
                    </c:extLst>
                  </c:dLbl>
                  <c:dLbl>
                    <c:idx val="4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5-02EF-47CA-8FA9-CC327C505BD0}"/>
                      </c:ext>
                    </c:extLst>
                  </c:dLbl>
                  <c:dLbl>
                    <c:idx val="5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6-02EF-47CA-8FA9-CC327C505BD0}"/>
                      </c:ext>
                    </c:extLst>
                  </c:dLbl>
                  <c:dLbl>
                    <c:idx val="6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7-02EF-47CA-8FA9-CC327C505BD0}"/>
                      </c:ext>
                    </c:extLst>
                  </c:dLbl>
                  <c:dLbl>
                    <c:idx val="7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8-02EF-47CA-8FA9-CC327C505BD0}"/>
                      </c:ext>
                    </c:extLst>
                  </c:dLbl>
                  <c:dLbl>
                    <c:idx val="8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9-02EF-47CA-8FA9-CC327C505BD0}"/>
                      </c:ext>
                    </c:extLst>
                  </c:dLbl>
                  <c:dLbl>
                    <c:idx val="9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A-02EF-47CA-8FA9-CC327C505BD0}"/>
                      </c:ext>
                    </c:extLst>
                  </c:dLbl>
                  <c:numFmt formatCode="General" sourceLinked="0"/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Sheet1!$A$18:$A$27</c15:sqref>
                        </c15:formulaRef>
                      </c:ext>
                    </c:extLst>
                    <c:strCache>
                      <c:ptCount val="10"/>
                      <c:pt idx="0">
                        <c:v>Agency specific allowances/payments (retention $)</c:v>
                      </c:pt>
                      <c:pt idx="1">
                        <c:v>Flexibility provisions - IE: WFH</c:v>
                      </c:pt>
                      <c:pt idx="2">
                        <c:v>Allowances</c:v>
                      </c:pt>
                      <c:pt idx="3">
                        <c:v>Hours of work</c:v>
                      </c:pt>
                      <c:pt idx="4">
                        <c:v>Performance management</c:v>
                      </c:pt>
                      <c:pt idx="5">
                        <c:v>Christmas shutdown</c:v>
                      </c:pt>
                      <c:pt idx="6">
                        <c:v>Flexibility to pay more for hard to fill/specialist roles</c:v>
                      </c:pt>
                      <c:pt idx="7">
                        <c:v>Shift work provisions</c:v>
                      </c:pt>
                      <c:pt idx="8">
                        <c:v>Broad banding</c:v>
                      </c:pt>
                      <c:pt idx="9">
                        <c:v>Overtime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Sheet1!$B$18:$B$27</c15:sqref>
                        </c15:formulaRef>
                      </c:ext>
                    </c:extLst>
                    <c:numCache>
                      <c:formatCode>0</c:formatCode>
                      <c:ptCount val="10"/>
                      <c:pt idx="0">
                        <c:v>21</c:v>
                      </c:pt>
                      <c:pt idx="1">
                        <c:v>19</c:v>
                      </c:pt>
                      <c:pt idx="2">
                        <c:v>18</c:v>
                      </c:pt>
                      <c:pt idx="3">
                        <c:v>17</c:v>
                      </c:pt>
                      <c:pt idx="4">
                        <c:v>10</c:v>
                      </c:pt>
                      <c:pt idx="5">
                        <c:v>9</c:v>
                      </c:pt>
                      <c:pt idx="6">
                        <c:v>8</c:v>
                      </c:pt>
                      <c:pt idx="7">
                        <c:v>8</c:v>
                      </c:pt>
                      <c:pt idx="8">
                        <c:v>8</c:v>
                      </c:pt>
                      <c:pt idx="9">
                        <c:v>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B-02EF-47CA-8FA9-CC327C505BD0}"/>
                  </c:ext>
                </c:extLst>
              </c15:ser>
            </c15:filteredBarSeries>
          </c:ext>
        </c:extLst>
      </c:barChart>
      <c:catAx>
        <c:axId val="521264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266368"/>
        <c:crosses val="autoZero"/>
        <c:auto val="1"/>
        <c:lblAlgn val="ctr"/>
        <c:lblOffset val="100"/>
        <c:noMultiLvlLbl val="0"/>
      </c:catAx>
      <c:valAx>
        <c:axId val="521266368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264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400"/>
              <a:t>WHo are your Biggest competitors for employees?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pattFill prst="narHorz">
              <a:fgClr>
                <a:schemeClr val="accent6">
                  <a:shade val="76000"/>
                </a:schemeClr>
              </a:fgClr>
              <a:bgClr>
                <a:schemeClr val="accent6">
                  <a:shade val="76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>
                  <a:shade val="76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Sheet1!$A$36:$A$39</c:f>
              <c:strCache>
                <c:ptCount val="4"/>
                <c:pt idx="0">
                  <c:v>Other / APS Agencies</c:v>
                </c:pt>
                <c:pt idx="1">
                  <c:v>State government</c:v>
                </c:pt>
                <c:pt idx="2">
                  <c:v>Big departments </c:v>
                </c:pt>
                <c:pt idx="3">
                  <c:v>Private sector         </c:v>
                </c:pt>
              </c:strCache>
            </c:strRef>
          </c:cat>
          <c:val>
            <c:numRef>
              <c:f>Sheet1!$C$36:$C$39</c:f>
              <c:numCache>
                <c:formatCode>0%</c:formatCode>
                <c:ptCount val="4"/>
                <c:pt idx="0">
                  <c:v>0.43283582089552236</c:v>
                </c:pt>
                <c:pt idx="1">
                  <c:v>0.23880597014925373</c:v>
                </c:pt>
                <c:pt idx="2">
                  <c:v>4.4776119402985072E-2</c:v>
                </c:pt>
                <c:pt idx="3">
                  <c:v>0.28358208955223879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B4-455E-885E-54876BFA9B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690582744"/>
        <c:axId val="69058438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pattFill prst="narHorz">
                    <a:fgClr>
                      <a:schemeClr val="accent6">
                        <a:tint val="77000"/>
                      </a:schemeClr>
                    </a:fgClr>
                    <a:bgClr>
                      <a:schemeClr val="accent6">
                        <a:tint val="77000"/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6">
                        <a:tint val="77000"/>
                      </a:schemeClr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Sheet1!$A$36:$A$39</c15:sqref>
                        </c15:formulaRef>
                      </c:ext>
                    </c:extLst>
                    <c:strCache>
                      <c:ptCount val="4"/>
                      <c:pt idx="0">
                        <c:v>Other / APS Agencies</c:v>
                      </c:pt>
                      <c:pt idx="1">
                        <c:v>State government</c:v>
                      </c:pt>
                      <c:pt idx="2">
                        <c:v>Big departments </c:v>
                      </c:pt>
                      <c:pt idx="3">
                        <c:v>Private sector        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Sheet1!$B$36:$B$39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29</c:v>
                      </c:pt>
                      <c:pt idx="1">
                        <c:v>16</c:v>
                      </c:pt>
                      <c:pt idx="2">
                        <c:v>3</c:v>
                      </c:pt>
                      <c:pt idx="3">
                        <c:v>19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8B4-455E-885E-54876BFA9B85}"/>
                  </c:ext>
                </c:extLst>
              </c15:ser>
            </c15:filteredBarSeries>
          </c:ext>
        </c:extLst>
      </c:barChart>
      <c:catAx>
        <c:axId val="690582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584384"/>
        <c:crosses val="autoZero"/>
        <c:auto val="1"/>
        <c:lblAlgn val="ctr"/>
        <c:lblOffset val="100"/>
        <c:noMultiLvlLbl val="0"/>
      </c:catAx>
      <c:valAx>
        <c:axId val="69058438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582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600"/>
              <a:t>Primary private OR NON-APS AGENCY competitors</a:t>
            </a:r>
          </a:p>
        </c:rich>
      </c:tx>
      <c:layout>
        <c:manualLayout>
          <c:xMode val="edge"/>
          <c:yMode val="edge"/>
          <c:x val="0.1618611111111111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pattFill prst="narVert">
              <a:fgClr>
                <a:schemeClr val="accent6">
                  <a:tint val="77000"/>
                </a:schemeClr>
              </a:fgClr>
              <a:bgClr>
                <a:schemeClr val="accent6">
                  <a:tint val="77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>
                  <a:tint val="77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Sheet1!$B$41:$B$50</c:f>
              <c:strCache>
                <c:ptCount val="10"/>
                <c:pt idx="0">
                  <c:v>Cyber/IT/Data analyst</c:v>
                </c:pt>
                <c:pt idx="1">
                  <c:v>Banking/Finance</c:v>
                </c:pt>
                <c:pt idx="2">
                  <c:v>Regulatory</c:v>
                </c:pt>
                <c:pt idx="3">
                  <c:v>Universities/Academia</c:v>
                </c:pt>
                <c:pt idx="4">
                  <c:v>Law Firms</c:v>
                </c:pt>
                <c:pt idx="5">
                  <c:v>Intelligence</c:v>
                </c:pt>
                <c:pt idx="6">
                  <c:v>Consulting Firms</c:v>
                </c:pt>
                <c:pt idx="7">
                  <c:v>Law Enforcement/AFP</c:v>
                </c:pt>
                <c:pt idx="8">
                  <c:v>Cultural Institutions</c:v>
                </c:pt>
                <c:pt idx="9">
                  <c:v>Labour Hire/Contracting</c:v>
                </c:pt>
              </c:strCache>
            </c:strRef>
          </c:cat>
          <c:val>
            <c:numRef>
              <c:f>Sheet1!$D$41:$D$50</c:f>
              <c:numCache>
                <c:formatCode>0%</c:formatCode>
                <c:ptCount val="10"/>
                <c:pt idx="0">
                  <c:v>0.20634920634920634</c:v>
                </c:pt>
                <c:pt idx="1">
                  <c:v>0.12698412698412698</c:v>
                </c:pt>
                <c:pt idx="2">
                  <c:v>0.12698412698412698</c:v>
                </c:pt>
                <c:pt idx="3">
                  <c:v>0.1111111111111111</c:v>
                </c:pt>
                <c:pt idx="4">
                  <c:v>9.5238095238095233E-2</c:v>
                </c:pt>
                <c:pt idx="5">
                  <c:v>9.5238095238095233E-2</c:v>
                </c:pt>
                <c:pt idx="6">
                  <c:v>7.9365079365079361E-2</c:v>
                </c:pt>
                <c:pt idx="7">
                  <c:v>6.3492063492063489E-2</c:v>
                </c:pt>
                <c:pt idx="8">
                  <c:v>6.3492063492063489E-2</c:v>
                </c:pt>
                <c:pt idx="9">
                  <c:v>3.1746031746031744E-2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5-4159-9F9D-089F3697480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670087544"/>
        <c:axId val="67009049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pattFill prst="narVert">
                    <a:fgClr>
                      <a:schemeClr val="accent6">
                        <a:shade val="76000"/>
                      </a:schemeClr>
                    </a:fgClr>
                    <a:bgClr>
                      <a:schemeClr val="accent6">
                        <a:shade val="76000"/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6">
                        <a:shade val="76000"/>
                      </a:schemeClr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Sheet1!$B$41:$B$50</c15:sqref>
                        </c15:formulaRef>
                      </c:ext>
                    </c:extLst>
                    <c:strCache>
                      <c:ptCount val="10"/>
                      <c:pt idx="0">
                        <c:v>Cyber/IT/Data analyst</c:v>
                      </c:pt>
                      <c:pt idx="1">
                        <c:v>Banking/Finance</c:v>
                      </c:pt>
                      <c:pt idx="2">
                        <c:v>Regulatory</c:v>
                      </c:pt>
                      <c:pt idx="3">
                        <c:v>Universities/Academia</c:v>
                      </c:pt>
                      <c:pt idx="4">
                        <c:v>Law Firms</c:v>
                      </c:pt>
                      <c:pt idx="5">
                        <c:v>Intelligence</c:v>
                      </c:pt>
                      <c:pt idx="6">
                        <c:v>Consulting Firms</c:v>
                      </c:pt>
                      <c:pt idx="7">
                        <c:v>Law Enforcement/AFP</c:v>
                      </c:pt>
                      <c:pt idx="8">
                        <c:v>Cultural Institutions</c:v>
                      </c:pt>
                      <c:pt idx="9">
                        <c:v>Labour Hire/Contracting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Sheet1!$C$41:$C$50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13</c:v>
                      </c:pt>
                      <c:pt idx="1">
                        <c:v>8</c:v>
                      </c:pt>
                      <c:pt idx="2">
                        <c:v>8</c:v>
                      </c:pt>
                      <c:pt idx="3">
                        <c:v>7</c:v>
                      </c:pt>
                      <c:pt idx="4">
                        <c:v>6</c:v>
                      </c:pt>
                      <c:pt idx="5">
                        <c:v>6</c:v>
                      </c:pt>
                      <c:pt idx="6">
                        <c:v>5</c:v>
                      </c:pt>
                      <c:pt idx="7">
                        <c:v>4</c:v>
                      </c:pt>
                      <c:pt idx="8">
                        <c:v>4</c:v>
                      </c:pt>
                      <c:pt idx="9">
                        <c:v>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B15-4159-9F9D-089F3697480D}"/>
                  </c:ext>
                </c:extLst>
              </c15:ser>
            </c15:filteredBarSeries>
          </c:ext>
        </c:extLst>
      </c:barChart>
      <c:catAx>
        <c:axId val="670087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0090496"/>
        <c:crosses val="autoZero"/>
        <c:auto val="1"/>
        <c:lblAlgn val="ctr"/>
        <c:lblOffset val="100"/>
        <c:noMultiLvlLbl val="0"/>
      </c:catAx>
      <c:valAx>
        <c:axId val="670090496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0087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400"/>
              <a:t>entitlements the APS should replicate from the private sector to remain competitive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pattFill prst="narHorz">
              <a:fgClr>
                <a:schemeClr val="accent1">
                  <a:tint val="77000"/>
                </a:schemeClr>
              </a:fgClr>
              <a:bgClr>
                <a:schemeClr val="accent1">
                  <a:tint val="77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>
                  <a:tint val="77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Sheet1!$A$53:$A$62</c:f>
              <c:strCache>
                <c:ptCount val="10"/>
                <c:pt idx="0">
                  <c:v>Higher pay</c:v>
                </c:pt>
                <c:pt idx="1">
                  <c:v>Flexible work</c:v>
                </c:pt>
                <c:pt idx="2">
                  <c:v>Career Progression</c:v>
                </c:pt>
                <c:pt idx="3">
                  <c:v>L&amp;D/Study/Training</c:v>
                </c:pt>
                <c:pt idx="4">
                  <c:v>Bonuses/Benefits/Allowances</c:v>
                </c:pt>
                <c:pt idx="5">
                  <c:v>Location of Work</c:v>
                </c:pt>
                <c:pt idx="6">
                  <c:v>Leave provisions</c:v>
                </c:pt>
                <c:pt idx="7">
                  <c:v>Flexible conditions</c:v>
                </c:pt>
                <c:pt idx="8">
                  <c:v>Professional pay streams</c:v>
                </c:pt>
                <c:pt idx="9">
                  <c:v>Engagement type</c:v>
                </c:pt>
              </c:strCache>
            </c:strRef>
          </c:cat>
          <c:val>
            <c:numRef>
              <c:f>Sheet1!$C$53:$C$62</c:f>
              <c:numCache>
                <c:formatCode>0%</c:formatCode>
                <c:ptCount val="10"/>
                <c:pt idx="0">
                  <c:v>0.42741935483870969</c:v>
                </c:pt>
                <c:pt idx="1">
                  <c:v>0.17741935483870969</c:v>
                </c:pt>
                <c:pt idx="2">
                  <c:v>8.0645161290322578E-2</c:v>
                </c:pt>
                <c:pt idx="3">
                  <c:v>7.2580645161290328E-2</c:v>
                </c:pt>
                <c:pt idx="4">
                  <c:v>6.4516129032258063E-2</c:v>
                </c:pt>
                <c:pt idx="5">
                  <c:v>4.8387096774193547E-2</c:v>
                </c:pt>
                <c:pt idx="6">
                  <c:v>4.8387096774193547E-2</c:v>
                </c:pt>
                <c:pt idx="7">
                  <c:v>3.2258064516129031E-2</c:v>
                </c:pt>
                <c:pt idx="8">
                  <c:v>2.4193548387096774E-2</c:v>
                </c:pt>
                <c:pt idx="9">
                  <c:v>2.4193548387096774E-2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F9-4ADE-BC14-9F2597AA01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690367632"/>
        <c:axId val="69036894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pattFill prst="narHorz">
                    <a:fgClr>
                      <a:schemeClr val="accent1">
                        <a:shade val="76000"/>
                      </a:schemeClr>
                    </a:fgClr>
                    <a:bgClr>
                      <a:schemeClr val="accent1">
                        <a:shade val="76000"/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1">
                        <a:shade val="76000"/>
                      </a:schemeClr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Sheet1!$A$53:$A$62</c15:sqref>
                        </c15:formulaRef>
                      </c:ext>
                    </c:extLst>
                    <c:strCache>
                      <c:ptCount val="10"/>
                      <c:pt idx="0">
                        <c:v>Higher pay</c:v>
                      </c:pt>
                      <c:pt idx="1">
                        <c:v>Flexible work</c:v>
                      </c:pt>
                      <c:pt idx="2">
                        <c:v>Career Progression</c:v>
                      </c:pt>
                      <c:pt idx="3">
                        <c:v>L&amp;D/Study/Training</c:v>
                      </c:pt>
                      <c:pt idx="4">
                        <c:v>Bonuses/Benefits/Allowances</c:v>
                      </c:pt>
                      <c:pt idx="5">
                        <c:v>Location of Work</c:v>
                      </c:pt>
                      <c:pt idx="6">
                        <c:v>Leave provisions</c:v>
                      </c:pt>
                      <c:pt idx="7">
                        <c:v>Flexible conditions</c:v>
                      </c:pt>
                      <c:pt idx="8">
                        <c:v>Professional pay streams</c:v>
                      </c:pt>
                      <c:pt idx="9">
                        <c:v>Engagement type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Sheet1!$B$53:$B$62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53</c:v>
                      </c:pt>
                      <c:pt idx="1">
                        <c:v>22</c:v>
                      </c:pt>
                      <c:pt idx="2">
                        <c:v>10</c:v>
                      </c:pt>
                      <c:pt idx="3">
                        <c:v>9</c:v>
                      </c:pt>
                      <c:pt idx="4">
                        <c:v>8</c:v>
                      </c:pt>
                      <c:pt idx="5">
                        <c:v>6</c:v>
                      </c:pt>
                      <c:pt idx="6">
                        <c:v>6</c:v>
                      </c:pt>
                      <c:pt idx="7">
                        <c:v>4</c:v>
                      </c:pt>
                      <c:pt idx="8">
                        <c:v>3</c:v>
                      </c:pt>
                      <c:pt idx="9">
                        <c:v>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4CF9-4ADE-BC14-9F2597AA01F9}"/>
                  </c:ext>
                </c:extLst>
              </c15:ser>
            </c15:filteredBarSeries>
          </c:ext>
        </c:extLst>
      </c:barChart>
      <c:valAx>
        <c:axId val="69036894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367632"/>
        <c:crosses val="autoZero"/>
        <c:crossBetween val="between"/>
      </c:valAx>
      <c:catAx>
        <c:axId val="69036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3689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600"/>
              <a:t>What matters most to your employees?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pattFill prst="narHorz">
              <a:fgClr>
                <a:schemeClr val="accent6">
                  <a:tint val="77000"/>
                </a:schemeClr>
              </a:fgClr>
              <a:bgClr>
                <a:schemeClr val="accent6">
                  <a:tint val="77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>
                  <a:tint val="77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Sheet1!$A$67:$A$76</c:f>
              <c:strCache>
                <c:ptCount val="10"/>
                <c:pt idx="0">
                  <c:v>Pay/Salary</c:v>
                </c:pt>
                <c:pt idx="1">
                  <c:v>Flexible Work</c:v>
                </c:pt>
                <c:pt idx="2">
                  <c:v>Allowances</c:v>
                </c:pt>
                <c:pt idx="3">
                  <c:v>Hours of work</c:v>
                </c:pt>
                <c:pt idx="4">
                  <c:v>Consultation</c:v>
                </c:pt>
                <c:pt idx="5">
                  <c:v>Mobility</c:v>
                </c:pt>
                <c:pt idx="6">
                  <c:v>Christmas shutdown</c:v>
                </c:pt>
                <c:pt idx="7">
                  <c:v>Flex time</c:v>
                </c:pt>
                <c:pt idx="8">
                  <c:v>Health &amp; wellbeing</c:v>
                </c:pt>
                <c:pt idx="9">
                  <c:v>Career progression</c:v>
                </c:pt>
              </c:strCache>
            </c:strRef>
          </c:cat>
          <c:val>
            <c:numRef>
              <c:f>Sheet1!$C$67:$C$76</c:f>
              <c:numCache>
                <c:formatCode>0%</c:formatCode>
                <c:ptCount val="10"/>
                <c:pt idx="0">
                  <c:v>0.35862068965517241</c:v>
                </c:pt>
                <c:pt idx="1">
                  <c:v>0.31724137931034485</c:v>
                </c:pt>
                <c:pt idx="2">
                  <c:v>6.8965517241379309E-2</c:v>
                </c:pt>
                <c:pt idx="3">
                  <c:v>5.5172413793103448E-2</c:v>
                </c:pt>
                <c:pt idx="4">
                  <c:v>4.1379310344827586E-2</c:v>
                </c:pt>
                <c:pt idx="5">
                  <c:v>4.1379310344827586E-2</c:v>
                </c:pt>
                <c:pt idx="6">
                  <c:v>3.4482758620689655E-2</c:v>
                </c:pt>
                <c:pt idx="7">
                  <c:v>2.7586206896551724E-2</c:v>
                </c:pt>
                <c:pt idx="8">
                  <c:v>2.7586206896551724E-2</c:v>
                </c:pt>
                <c:pt idx="9">
                  <c:v>2.7586206896551724E-2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91-45FA-8A92-EC87C428AF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400758656"/>
        <c:axId val="4007599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pattFill prst="narHorz">
                    <a:fgClr>
                      <a:schemeClr val="accent6">
                        <a:shade val="76000"/>
                      </a:schemeClr>
                    </a:fgClr>
                    <a:bgClr>
                      <a:schemeClr val="accent6">
                        <a:shade val="76000"/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6">
                        <a:shade val="76000"/>
                      </a:schemeClr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Sheet1!$A$67:$A$76</c15:sqref>
                        </c15:formulaRef>
                      </c:ext>
                    </c:extLst>
                    <c:strCache>
                      <c:ptCount val="10"/>
                      <c:pt idx="0">
                        <c:v>Pay/Salary</c:v>
                      </c:pt>
                      <c:pt idx="1">
                        <c:v>Flexible Work</c:v>
                      </c:pt>
                      <c:pt idx="2">
                        <c:v>Allowances</c:v>
                      </c:pt>
                      <c:pt idx="3">
                        <c:v>Hours of work</c:v>
                      </c:pt>
                      <c:pt idx="4">
                        <c:v>Consultation</c:v>
                      </c:pt>
                      <c:pt idx="5">
                        <c:v>Mobility</c:v>
                      </c:pt>
                      <c:pt idx="6">
                        <c:v>Christmas shutdown</c:v>
                      </c:pt>
                      <c:pt idx="7">
                        <c:v>Flex time</c:v>
                      </c:pt>
                      <c:pt idx="8">
                        <c:v>Health &amp; wellbeing</c:v>
                      </c:pt>
                      <c:pt idx="9">
                        <c:v>Career progression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Sheet1!$B$67:$B$76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52</c:v>
                      </c:pt>
                      <c:pt idx="1">
                        <c:v>46</c:v>
                      </c:pt>
                      <c:pt idx="2">
                        <c:v>10</c:v>
                      </c:pt>
                      <c:pt idx="3">
                        <c:v>8</c:v>
                      </c:pt>
                      <c:pt idx="4">
                        <c:v>6</c:v>
                      </c:pt>
                      <c:pt idx="5">
                        <c:v>6</c:v>
                      </c:pt>
                      <c:pt idx="6">
                        <c:v>5</c:v>
                      </c:pt>
                      <c:pt idx="7">
                        <c:v>4</c:v>
                      </c:pt>
                      <c:pt idx="8">
                        <c:v>4</c:v>
                      </c:pt>
                      <c:pt idx="9">
                        <c:v>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F391-45FA-8A92-EC87C428AFDA}"/>
                  </c:ext>
                </c:extLst>
              </c15:ser>
            </c15:filteredBarSeries>
          </c:ext>
        </c:extLst>
      </c:barChart>
      <c:catAx>
        <c:axId val="40075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759968"/>
        <c:crosses val="autoZero"/>
        <c:auto val="1"/>
        <c:lblAlgn val="ctr"/>
        <c:lblOffset val="100"/>
        <c:noMultiLvlLbl val="0"/>
      </c:catAx>
      <c:valAx>
        <c:axId val="400759968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75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400"/>
              <a:t>What Support IS REQUIRED from the APSC during APS SERVICE-WIDE</a:t>
            </a:r>
            <a:r>
              <a:rPr lang="en-AU" sz="1400" baseline="0"/>
              <a:t> </a:t>
            </a:r>
            <a:r>
              <a:rPr lang="en-AU" sz="1400"/>
              <a:t>bargaining?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pattFill prst="narVert">
              <a:fgClr>
                <a:schemeClr val="accent6">
                  <a:tint val="77000"/>
                </a:schemeClr>
              </a:fgClr>
              <a:bgClr>
                <a:schemeClr val="accent6">
                  <a:tint val="77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>
                  <a:tint val="77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Sheet1!$A$80:$A$89</c:f>
              <c:strCache>
                <c:ptCount val="10"/>
                <c:pt idx="0">
                  <c:v>Templates</c:v>
                </c:pt>
                <c:pt idx="1">
                  <c:v>Talking Points/FAQs</c:v>
                </c:pt>
                <c:pt idx="2">
                  <c:v>Affordability considerations</c:v>
                </c:pt>
                <c:pt idx="3">
                  <c:v>Emails - HR/WR contacts as well as AH's/COO</c:v>
                </c:pt>
                <c:pt idx="4">
                  <c:v>Timeframe considerations</c:v>
                </c:pt>
                <c:pt idx="5">
                  <c:v>Briefings/meetings (online)</c:v>
                </c:pt>
                <c:pt idx="6">
                  <c:v>Workshops/training (small agencies)</c:v>
                </c:pt>
                <c:pt idx="7">
                  <c:v>Resourcing considerations</c:v>
                </c:pt>
                <c:pt idx="8">
                  <c:v>Access to APSC/RM</c:v>
                </c:pt>
                <c:pt idx="9">
                  <c:v>Regular updates on progress</c:v>
                </c:pt>
              </c:strCache>
            </c:strRef>
          </c:cat>
          <c:val>
            <c:numRef>
              <c:f>Sheet1!$C$80:$C$89</c:f>
              <c:numCache>
                <c:formatCode>0%</c:formatCode>
                <c:ptCount val="10"/>
                <c:pt idx="0">
                  <c:v>0.13157894736842105</c:v>
                </c:pt>
                <c:pt idx="1">
                  <c:v>0.13157894736842105</c:v>
                </c:pt>
                <c:pt idx="2">
                  <c:v>0.10526315789473684</c:v>
                </c:pt>
                <c:pt idx="3">
                  <c:v>0.10526315789473684</c:v>
                </c:pt>
                <c:pt idx="4">
                  <c:v>0.10526315789473684</c:v>
                </c:pt>
                <c:pt idx="5">
                  <c:v>7.8947368421052627E-2</c:v>
                </c:pt>
                <c:pt idx="6">
                  <c:v>7.8947368421052627E-2</c:v>
                </c:pt>
                <c:pt idx="7">
                  <c:v>7.8947368421052627E-2</c:v>
                </c:pt>
                <c:pt idx="8">
                  <c:v>7.8947368421052627E-2</c:v>
                </c:pt>
                <c:pt idx="9">
                  <c:v>7.8947368421052627E-2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D9-4222-B33D-31BB37B769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524900104"/>
        <c:axId val="52490404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pattFill prst="narVert">
                    <a:fgClr>
                      <a:schemeClr val="accent6">
                        <a:shade val="76000"/>
                      </a:schemeClr>
                    </a:fgClr>
                    <a:bgClr>
                      <a:schemeClr val="accent6">
                        <a:shade val="76000"/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6">
                        <a:shade val="76000"/>
                      </a:schemeClr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Sheet1!$A$80:$A$89</c15:sqref>
                        </c15:formulaRef>
                      </c:ext>
                    </c:extLst>
                    <c:strCache>
                      <c:ptCount val="10"/>
                      <c:pt idx="0">
                        <c:v>Templates</c:v>
                      </c:pt>
                      <c:pt idx="1">
                        <c:v>Talking Points/FAQs</c:v>
                      </c:pt>
                      <c:pt idx="2">
                        <c:v>Affordability considerations</c:v>
                      </c:pt>
                      <c:pt idx="3">
                        <c:v>Emails - HR/WR contacts as well as AH's/COO</c:v>
                      </c:pt>
                      <c:pt idx="4">
                        <c:v>Timeframe considerations</c:v>
                      </c:pt>
                      <c:pt idx="5">
                        <c:v>Briefings/meetings (online)</c:v>
                      </c:pt>
                      <c:pt idx="6">
                        <c:v>Workshops/training (small agencies)</c:v>
                      </c:pt>
                      <c:pt idx="7">
                        <c:v>Resourcing considerations</c:v>
                      </c:pt>
                      <c:pt idx="8">
                        <c:v>Access to APSC/RM</c:v>
                      </c:pt>
                      <c:pt idx="9">
                        <c:v>Regular updates on progress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Sheet1!$B$80:$B$89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5</c:v>
                      </c:pt>
                      <c:pt idx="1">
                        <c:v>5</c:v>
                      </c:pt>
                      <c:pt idx="2">
                        <c:v>5</c:v>
                      </c:pt>
                      <c:pt idx="3">
                        <c:v>4</c:v>
                      </c:pt>
                      <c:pt idx="4">
                        <c:v>4</c:v>
                      </c:pt>
                      <c:pt idx="5">
                        <c:v>3</c:v>
                      </c:pt>
                      <c:pt idx="6">
                        <c:v>3</c:v>
                      </c:pt>
                      <c:pt idx="7">
                        <c:v>3</c:v>
                      </c:pt>
                      <c:pt idx="8">
                        <c:v>3</c:v>
                      </c:pt>
                      <c:pt idx="9">
                        <c:v>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C1D9-4222-B33D-31BB37B7694B}"/>
                  </c:ext>
                </c:extLst>
              </c15:ser>
            </c15:filteredBarSeries>
          </c:ext>
        </c:extLst>
      </c:barChart>
      <c:catAx>
        <c:axId val="524900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4904040"/>
        <c:crosses val="autoZero"/>
        <c:auto val="1"/>
        <c:lblAlgn val="ctr"/>
        <c:lblOffset val="100"/>
        <c:noMultiLvlLbl val="0"/>
      </c:catAx>
      <c:valAx>
        <c:axId val="524904040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4900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SUGGEsTIONS</a:t>
            </a:r>
            <a:r>
              <a:rPr lang="en-AU" baseline="0"/>
              <a:t> to manage APS bargaining 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pattFill prst="narHorz">
              <a:fgClr>
                <a:schemeClr val="accent6">
                  <a:shade val="76000"/>
                </a:schemeClr>
              </a:fgClr>
              <a:bgClr>
                <a:schemeClr val="accent6">
                  <a:shade val="76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>
                  <a:shade val="76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Sheet1!$A$94:$A$103</c:f>
              <c:strCache>
                <c:ptCount val="10"/>
                <c:pt idx="0">
                  <c:v>Use technology</c:v>
                </c:pt>
                <c:pt idx="1">
                  <c:v>Ensure small agencies have a voice</c:v>
                </c:pt>
                <c:pt idx="2">
                  <c:v>Clear details - Part A v Part B </c:v>
                </c:pt>
                <c:pt idx="3">
                  <c:v>Online surveys - APS-wide</c:v>
                </c:pt>
                <c:pt idx="4">
                  <c:v>Frequent/accurate all staff comms </c:v>
                </c:pt>
                <c:pt idx="5">
                  <c:v>List bargaining reps - by agency</c:v>
                </c:pt>
                <c:pt idx="6">
                  <c:v>Centralised portal for comms </c:v>
                </c:pt>
                <c:pt idx="7">
                  <c:v>Regular meetings/forums</c:v>
                </c:pt>
                <c:pt idx="8">
                  <c:v>Run small focus groups</c:v>
                </c:pt>
                <c:pt idx="9">
                  <c:v>Sub-lead for each portfolio/group </c:v>
                </c:pt>
              </c:strCache>
            </c:strRef>
          </c:cat>
          <c:val>
            <c:numRef>
              <c:f>Sheet1!$C$94:$C$103</c:f>
              <c:numCache>
                <c:formatCode>0%</c:formatCode>
                <c:ptCount val="10"/>
                <c:pt idx="0">
                  <c:v>0.17857142857142858</c:v>
                </c:pt>
                <c:pt idx="1">
                  <c:v>0.14285714285714285</c:v>
                </c:pt>
                <c:pt idx="2">
                  <c:v>0.10714285714285714</c:v>
                </c:pt>
                <c:pt idx="3">
                  <c:v>0.10714285714285714</c:v>
                </c:pt>
                <c:pt idx="4">
                  <c:v>0.10714285714285714</c:v>
                </c:pt>
                <c:pt idx="5">
                  <c:v>7.1428571428571425E-2</c:v>
                </c:pt>
                <c:pt idx="6">
                  <c:v>7.1428571428571425E-2</c:v>
                </c:pt>
                <c:pt idx="7">
                  <c:v>7.1428571428571425E-2</c:v>
                </c:pt>
                <c:pt idx="8">
                  <c:v>7.1428571428571425E-2</c:v>
                </c:pt>
                <c:pt idx="9">
                  <c:v>7.1428571428571425E-2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B-4EBE-8BA1-2480594DBE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520416616"/>
        <c:axId val="52041694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pattFill prst="narHorz">
                    <a:fgClr>
                      <a:schemeClr val="accent6">
                        <a:tint val="77000"/>
                      </a:schemeClr>
                    </a:fgClr>
                    <a:bgClr>
                      <a:schemeClr val="accent6">
                        <a:tint val="77000"/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6">
                        <a:tint val="77000"/>
                      </a:schemeClr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Sheet1!$A$94:$A$103</c15:sqref>
                        </c15:formulaRef>
                      </c:ext>
                    </c:extLst>
                    <c:strCache>
                      <c:ptCount val="10"/>
                      <c:pt idx="0">
                        <c:v>Use technology</c:v>
                      </c:pt>
                      <c:pt idx="1">
                        <c:v>Ensure small agencies have a voice</c:v>
                      </c:pt>
                      <c:pt idx="2">
                        <c:v>Clear details - Part A v Part B </c:v>
                      </c:pt>
                      <c:pt idx="3">
                        <c:v>Online surveys - APS-wide</c:v>
                      </c:pt>
                      <c:pt idx="4">
                        <c:v>Frequent/accurate all staff comms </c:v>
                      </c:pt>
                      <c:pt idx="5">
                        <c:v>List bargaining reps - by agency</c:v>
                      </c:pt>
                      <c:pt idx="6">
                        <c:v>Centralised portal for comms </c:v>
                      </c:pt>
                      <c:pt idx="7">
                        <c:v>Regular meetings/forums</c:v>
                      </c:pt>
                      <c:pt idx="8">
                        <c:v>Run small focus groups</c:v>
                      </c:pt>
                      <c:pt idx="9">
                        <c:v>Sub-lead for each portfolio/group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Sheet1!$B$94:$B$103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3</c:v>
                      </c:pt>
                      <c:pt idx="4">
                        <c:v>3</c:v>
                      </c:pt>
                      <c:pt idx="5">
                        <c:v>2</c:v>
                      </c:pt>
                      <c:pt idx="6">
                        <c:v>2</c:v>
                      </c:pt>
                      <c:pt idx="7">
                        <c:v>2</c:v>
                      </c:pt>
                      <c:pt idx="8">
                        <c:v>2</c:v>
                      </c:pt>
                      <c:pt idx="9">
                        <c:v>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86B-4EBE-8BA1-2480594DBE39}"/>
                  </c:ext>
                </c:extLst>
              </c15:ser>
            </c15:filteredBarSeries>
          </c:ext>
        </c:extLst>
      </c:barChart>
      <c:catAx>
        <c:axId val="520416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416944"/>
        <c:crosses val="autoZero"/>
        <c:auto val="1"/>
        <c:lblAlgn val="ctr"/>
        <c:lblOffset val="100"/>
        <c:noMultiLvlLbl val="0"/>
      </c:catAx>
      <c:valAx>
        <c:axId val="52041694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416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Fac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D9738D1FFF199744BC10A8BB12296E4F" ma:contentTypeVersion="4" ma:contentTypeDescription="ShareHub Document" ma:contentTypeScope="" ma:versionID="c29e45aed7632491a8ff17ccbaf96acc">
  <xsd:schema xmlns:xsd="http://www.w3.org/2001/XMLSchema" xmlns:xs="http://www.w3.org/2001/XMLSchema" xmlns:p="http://schemas.microsoft.com/office/2006/metadata/properties" xmlns:ns1="19659974-e276-4a6a-a1f1-9bf125f67693" xmlns:ns3="685f9fda-bd71-4433-b331-92feb9553089" targetNamespace="http://schemas.microsoft.com/office/2006/metadata/properties" ma:root="true" ma:fieldsID="e1c48d50029e9de5147ee592fdd75084" ns1:_="" ns3:_="">
    <xsd:import namespace="19659974-e276-4a6a-a1f1-9bf125f67693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59974-e276-4a6a-a1f1-9bf125f67693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aab2b70-ee13-440a-93c6-535ec1070906}" ma:internalName="TaxCatchAll" ma:showField="CatchAllData" ma:web="19659974-e276-4a6a-a1f1-9bf125f67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aab2b70-ee13-440a-93c6-535ec1070906}" ma:internalName="TaxCatchAllLabel" ma:readOnly="true" ma:showField="CatchAllDataLabel" ma:web="19659974-e276-4a6a-a1f1-9bf125f67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19659974-e276-4a6a-a1f1-9bf125f67693">
      <Terms xmlns="http://schemas.microsoft.com/office/infopath/2007/PartnerControls"/>
    </jd1c641577414dfdab1686c9d5d0dbd0>
    <ShareHubID xmlns="19659974-e276-4a6a-a1f1-9bf125f67693">SHD23-5321</ShareHubID>
    <TaxCatchAll xmlns="19659974-e276-4a6a-a1f1-9bf125f67693">
      <Value>1</Value>
    </TaxCatchAll>
    <PMCNotes xmlns="19659974-e276-4a6a-a1f1-9bf125f67693" xsi:nil="true"/>
    <mc5611b894cf49d8aeeb8ebf39dc09bc xmlns="19659974-e276-4a6a-a1f1-9bf125f676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0710-6A02-4F8C-B6BF-E7E4D3F2F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3270F-D46F-46BF-ACB1-E395BABF3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59974-e276-4a6a-a1f1-9bf125f67693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3DC3D-6541-46E6-83C0-DC52FFC9A9A0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19659974-e276-4a6a-a1f1-9bf125f67693"/>
  </ds:schemaRefs>
</ds:datastoreItem>
</file>

<file path=customXml/itemProps4.xml><?xml version="1.0" encoding="utf-8"?>
<ds:datastoreItem xmlns:ds="http://schemas.openxmlformats.org/officeDocument/2006/customXml" ds:itemID="{F8BC25EF-FFC2-4452-B8B0-200AB5BC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Capability Review</vt:lpstr>
    </vt:vector>
  </TitlesOfParts>
  <Company>Australian Government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Capability Review</dc:title>
  <dc:creator>Microsoft Office User</dc:creator>
  <cp:keywords>Template;APSC</cp:keywords>
  <cp:lastModifiedBy>McLaughlin, Sarah</cp:lastModifiedBy>
  <cp:revision>4</cp:revision>
  <cp:lastPrinted>2023-01-19T05:13:00Z</cp:lastPrinted>
  <dcterms:created xsi:type="dcterms:W3CDTF">2023-01-25T03:01:00Z</dcterms:created>
  <dcterms:modified xsi:type="dcterms:W3CDTF">2023-02-01T05:58:00Z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0x0101002825A64A6E1845A99A9D8EE8A5686ECB00D9738D1FFF199744BC10A8BB12296E4F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