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CE40" w14:textId="5D768A2E" w:rsidR="008D4322" w:rsidRPr="002D21F5" w:rsidRDefault="008D4322" w:rsidP="018A5CE4">
      <w:pPr>
        <w:pStyle w:val="Titleofdocument"/>
        <w:spacing w:before="3480" w:line="660" w:lineRule="exact"/>
        <w:rPr>
          <w:b/>
          <w:bCs/>
          <w:sz w:val="52"/>
          <w:szCs w:val="52"/>
        </w:rPr>
      </w:pPr>
      <w:r w:rsidRPr="00272841">
        <w:rPr>
          <w:b/>
          <w:noProof/>
          <w:sz w:val="52"/>
          <w:szCs w:val="52"/>
          <w:lang w:eastAsia="en-AU"/>
        </w:rPr>
        <w:drawing>
          <wp:anchor distT="0" distB="0" distL="114300" distR="114300" simplePos="0" relativeHeight="251658241" behindDoc="1" locked="0" layoutInCell="1" allowOverlap="1" wp14:anchorId="6B6F41D5" wp14:editId="263D89C8">
            <wp:simplePos x="0" y="0"/>
            <wp:positionH relativeFrom="page">
              <wp:align>right</wp:align>
            </wp:positionH>
            <wp:positionV relativeFrom="paragraph">
              <wp:posOffset>-913130</wp:posOffset>
            </wp:positionV>
            <wp:extent cx="7556500" cy="10693239"/>
            <wp:effectExtent l="0" t="0" r="6350" b="0"/>
            <wp:wrapNone/>
            <wp:docPr id="9" name="Picture 3" descr="Australian Public Service Commission logo and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8683" name="Picture 3" descr="Australian Public Service Commission logo and cover"/>
                    <pic:cNvPicPr/>
                  </pic:nvPicPr>
                  <pic:blipFill>
                    <a:blip r:embed="rId11"/>
                    <a:stretch>
                      <a:fillRect/>
                    </a:stretch>
                  </pic:blipFill>
                  <pic:spPr>
                    <a:xfrm>
                      <a:off x="0" y="0"/>
                      <a:ext cx="7556500" cy="10693239"/>
                    </a:xfrm>
                    <a:prstGeom prst="rect">
                      <a:avLst/>
                    </a:prstGeom>
                  </pic:spPr>
                </pic:pic>
              </a:graphicData>
            </a:graphic>
            <wp14:sizeRelH relativeFrom="page">
              <wp14:pctWidth>0</wp14:pctWidth>
            </wp14:sizeRelH>
            <wp14:sizeRelV relativeFrom="page">
              <wp14:pctHeight>0</wp14:pctHeight>
            </wp14:sizeRelV>
          </wp:anchor>
        </w:drawing>
      </w:r>
      <w:bookmarkStart w:id="0" w:name="_Toc165985757"/>
      <w:bookmarkStart w:id="1" w:name="_Toc165991635"/>
      <w:bookmarkStart w:id="2" w:name="_Toc166082933"/>
      <w:bookmarkStart w:id="3" w:name="_Toc166160297"/>
      <w:bookmarkStart w:id="4" w:name="_Toc166167996"/>
      <w:bookmarkStart w:id="5" w:name="_Toc168329152"/>
      <w:bookmarkStart w:id="6" w:name="_Toc168322809"/>
      <w:bookmarkStart w:id="7" w:name="_Toc168387925"/>
      <w:bookmarkStart w:id="8" w:name="_Toc168405580"/>
      <w:bookmarkStart w:id="9" w:name="_Toc168408618"/>
      <w:bookmarkStart w:id="10" w:name="_Toc168411019"/>
      <w:bookmarkStart w:id="11" w:name="_Toc168405879"/>
      <w:bookmarkStart w:id="12" w:name="_Toc168473687"/>
      <w:bookmarkStart w:id="13" w:name="_Toc168471585"/>
      <w:bookmarkStart w:id="14" w:name="_Toc168484645"/>
      <w:bookmarkStart w:id="15" w:name="_Toc168495114"/>
      <w:bookmarkStart w:id="16" w:name="_Toc168495563"/>
      <w:bookmarkStart w:id="17" w:name="_Toc169103231"/>
      <w:bookmarkStart w:id="18" w:name="_Toc169104705"/>
      <w:bookmarkStart w:id="19" w:name="_Toc169278421"/>
      <w:bookmarkStart w:id="20" w:name="_Toc169279454"/>
      <w:bookmarkStart w:id="21" w:name="_Toc169279700"/>
      <w:bookmarkStart w:id="22" w:name="_Toc169532248"/>
      <w:bookmarkStart w:id="23" w:name="_Toc169532332"/>
      <w:r w:rsidR="58F44AC0" w:rsidRPr="00272841">
        <w:rPr>
          <w:b/>
          <w:bCs/>
          <w:sz w:val="52"/>
          <w:szCs w:val="52"/>
        </w:rPr>
        <w:t xml:space="preserve">Australian Public Service </w:t>
      </w:r>
      <w:r>
        <w:br/>
      </w:r>
      <w:r w:rsidR="58F44AC0" w:rsidRPr="00272841">
        <w:rPr>
          <w:b/>
          <w:bCs/>
          <w:sz w:val="52"/>
          <w:szCs w:val="52"/>
        </w:rPr>
        <w:t>Gender Equality Strategy 2021–2026</w:t>
      </w:r>
      <w:r w:rsidR="3005B478" w:rsidRPr="00272841">
        <w:rPr>
          <w:b/>
          <w:bCs/>
          <w:sz w:val="52"/>
          <w:szCs w:val="52"/>
        </w:rPr>
        <w:t xml:space="preserve"> </w:t>
      </w:r>
      <w:r>
        <w:br/>
      </w:r>
      <w:r w:rsidR="3005B478" w:rsidRPr="00272841">
        <w:rPr>
          <w:b/>
          <w:bCs/>
          <w:sz w:val="52"/>
          <w:szCs w:val="52"/>
        </w:rPr>
        <w:t>Interim Evaluation</w:t>
      </w:r>
      <w:r w:rsidR="008607A7">
        <w:rPr>
          <w:b/>
        </w:rPr>
        <w:br/>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C405C34" w14:textId="4067A47A" w:rsidR="00A4350C" w:rsidRDefault="008D4322" w:rsidP="008D4322">
      <w:pPr>
        <w:spacing w:line="360" w:lineRule="auto"/>
        <w:rPr>
          <w:rFonts w:asciiTheme="majorHAnsi" w:eastAsiaTheme="majorEastAsia" w:hAnsiTheme="majorHAnsi" w:cstheme="majorBidi"/>
          <w:color w:val="3B3838" w:themeColor="background2" w:themeShade="40"/>
          <w:kern w:val="28"/>
          <w:sz w:val="48"/>
          <w:szCs w:val="56"/>
        </w:rPr>
      </w:pPr>
      <w:r>
        <w:rPr>
          <w:rFonts w:cstheme="majorBidi"/>
          <w:b/>
          <w:noProof/>
          <w:sz w:val="54"/>
          <w:szCs w:val="54"/>
          <w:lang w:eastAsia="en-AU"/>
        </w:rPr>
        <w:drawing>
          <wp:anchor distT="0" distB="0" distL="114300" distR="114300" simplePos="0" relativeHeight="251658240" behindDoc="1" locked="0" layoutInCell="1" allowOverlap="1" wp14:anchorId="6F3E9B26" wp14:editId="502B1BCB">
            <wp:simplePos x="0" y="0"/>
            <wp:positionH relativeFrom="page">
              <wp:posOffset>5080</wp:posOffset>
            </wp:positionH>
            <wp:positionV relativeFrom="paragraph">
              <wp:posOffset>-915035</wp:posOffset>
            </wp:positionV>
            <wp:extent cx="7556500" cy="10693239"/>
            <wp:effectExtent l="0" t="0" r="6350" b="0"/>
            <wp:wrapNone/>
            <wp:docPr id="170548683" name="Picture 3" descr="Australian Public Service Commission logo and cover" title="Australian**  Public Service Commission logo and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8683" name="Picture 3" descr="Australian Public Service Commission logo and cover"/>
                    <pic:cNvPicPr/>
                  </pic:nvPicPr>
                  <pic:blipFill>
                    <a:blip r:embed="rId11"/>
                    <a:stretch>
                      <a:fillRect/>
                    </a:stretch>
                  </pic:blipFill>
                  <pic:spPr>
                    <a:xfrm>
                      <a:off x="0" y="0"/>
                      <a:ext cx="7556500" cy="10693239"/>
                    </a:xfrm>
                    <a:prstGeom prst="rect">
                      <a:avLst/>
                    </a:prstGeom>
                  </pic:spPr>
                </pic:pic>
              </a:graphicData>
            </a:graphic>
            <wp14:sizeRelH relativeFrom="page">
              <wp14:pctWidth>0</wp14:pctWidth>
            </wp14:sizeRelH>
            <wp14:sizeRelV relativeFrom="page">
              <wp14:pctHeight>0</wp14:pctHeight>
            </wp14:sizeRelV>
          </wp:anchor>
        </w:drawing>
      </w:r>
      <w:r w:rsidR="00A4350C">
        <w:br w:type="page"/>
      </w:r>
    </w:p>
    <w:p w14:paraId="2D4F407A" w14:textId="7D7E93D9" w:rsidR="006A46EC" w:rsidRDefault="006A46EC" w:rsidP="001423BE">
      <w:pPr>
        <w:pStyle w:val="Footer"/>
      </w:pPr>
    </w:p>
    <w:p w14:paraId="2C94E386" w14:textId="39F19E15" w:rsidR="001E3433" w:rsidRPr="0041228D" w:rsidRDefault="001E3433" w:rsidP="001E3433">
      <w:pPr>
        <w:spacing w:before="8000" w:after="240"/>
        <w:rPr>
          <w:sz w:val="18"/>
          <w:szCs w:val="18"/>
          <w:lang w:eastAsia="en-AU"/>
        </w:rPr>
      </w:pPr>
      <w:r w:rsidRPr="0041228D">
        <w:rPr>
          <w:sz w:val="18"/>
          <w:szCs w:val="18"/>
          <w:lang w:eastAsia="en-AU"/>
        </w:rPr>
        <w:t>Commonwealth of Australia 202</w:t>
      </w:r>
      <w:r>
        <w:rPr>
          <w:sz w:val="18"/>
          <w:szCs w:val="18"/>
          <w:lang w:eastAsia="en-AU"/>
        </w:rPr>
        <w:t>4</w:t>
      </w:r>
    </w:p>
    <w:p w14:paraId="66E94D77" w14:textId="77777777" w:rsidR="001E3433" w:rsidRPr="0041228D" w:rsidRDefault="001E3433" w:rsidP="001E3433">
      <w:pPr>
        <w:rPr>
          <w:sz w:val="18"/>
          <w:szCs w:val="18"/>
          <w:lang w:eastAsia="en-AU"/>
        </w:rPr>
      </w:pPr>
      <w:r w:rsidRPr="0041228D">
        <w:rPr>
          <w:noProof/>
          <w:sz w:val="18"/>
          <w:szCs w:val="18"/>
          <w:lang w:eastAsia="en-AU"/>
        </w:rPr>
        <w:drawing>
          <wp:inline distT="0" distB="0" distL="0" distR="0" wp14:anchorId="282AA5D6" wp14:editId="52911DE2">
            <wp:extent cx="1021080" cy="357633"/>
            <wp:effectExtent l="0" t="0" r="7620" b="4445"/>
            <wp:docPr id="18" name="Picture 18" descr="Symbol of Copyright" title="Copyrig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1783" cy="368387"/>
                    </a:xfrm>
                    <a:prstGeom prst="rect">
                      <a:avLst/>
                    </a:prstGeom>
                  </pic:spPr>
                </pic:pic>
              </a:graphicData>
            </a:graphic>
          </wp:inline>
        </w:drawing>
      </w:r>
    </w:p>
    <w:p w14:paraId="1F4DBA81" w14:textId="58AEF564" w:rsidR="001E3433" w:rsidRPr="0041228D" w:rsidRDefault="001E3433" w:rsidP="001E3433">
      <w:pPr>
        <w:rPr>
          <w:sz w:val="18"/>
          <w:szCs w:val="18"/>
          <w:lang w:eastAsia="en-AU"/>
        </w:rPr>
      </w:pPr>
      <w:r w:rsidRPr="0041228D">
        <w:rPr>
          <w:spacing w:val="-2"/>
          <w:sz w:val="18"/>
          <w:szCs w:val="18"/>
          <w:lang w:eastAsia="en-AU"/>
        </w:rPr>
        <w:t xml:space="preserve">With the exception of the Commonwealth Coat of Arms and where otherwise noted, all material presented in </w:t>
      </w:r>
      <w:r w:rsidR="00307FB1">
        <w:rPr>
          <w:spacing w:val="-2"/>
          <w:sz w:val="18"/>
          <w:szCs w:val="18"/>
          <w:lang w:eastAsia="en-AU"/>
        </w:rPr>
        <w:t>this report</w:t>
      </w:r>
      <w:r w:rsidRPr="0041228D">
        <w:rPr>
          <w:spacing w:val="-2"/>
          <w:sz w:val="18"/>
          <w:szCs w:val="18"/>
          <w:lang w:eastAsia="en-AU"/>
        </w:rPr>
        <w:t xml:space="preserve"> by the Australian Public Service Commission is licensed under a Creative Commons Attribution 4.0 International Licence (CC BY 4.0). To view a copy of this licence, visit </w:t>
      </w:r>
      <w:hyperlink r:id="rId13" w:history="1">
        <w:r w:rsidRPr="0041228D">
          <w:rPr>
            <w:color w:val="0044D6"/>
            <w:spacing w:val="-2"/>
            <w:sz w:val="18"/>
            <w:szCs w:val="18"/>
            <w:u w:val="single"/>
            <w:lang w:eastAsia="en-AU"/>
          </w:rPr>
          <w:t>https://creativecommons.org/licenses/by/4.0/</w:t>
        </w:r>
      </w:hyperlink>
      <w:r w:rsidRPr="0041228D">
        <w:rPr>
          <w:spacing w:val="-2"/>
          <w:sz w:val="18"/>
          <w:szCs w:val="18"/>
          <w:lang w:eastAsia="en-AU"/>
        </w:rPr>
        <w:t>.</w:t>
      </w:r>
    </w:p>
    <w:p w14:paraId="03F8AC67" w14:textId="77777777" w:rsidR="001E3433" w:rsidRPr="0041228D" w:rsidRDefault="001E3433" w:rsidP="001E3433">
      <w:pPr>
        <w:spacing w:after="0"/>
        <w:rPr>
          <w:sz w:val="18"/>
          <w:szCs w:val="18"/>
          <w:lang w:eastAsia="en-AU"/>
        </w:rPr>
      </w:pPr>
      <w:r w:rsidRPr="0041228D">
        <w:rPr>
          <w:b/>
          <w:bCs/>
          <w:spacing w:val="-2"/>
          <w:sz w:val="18"/>
          <w:szCs w:val="18"/>
          <w:lang w:eastAsia="en-AU"/>
        </w:rPr>
        <w:t>Enquiries </w:t>
      </w:r>
    </w:p>
    <w:p w14:paraId="75FA8E1B" w14:textId="05A699BD" w:rsidR="001E3433" w:rsidRPr="0041228D" w:rsidRDefault="001E3433" w:rsidP="001E3433">
      <w:pPr>
        <w:spacing w:before="0"/>
        <w:rPr>
          <w:color w:val="0563C1" w:themeColor="hyperlink"/>
          <w:sz w:val="18"/>
          <w:szCs w:val="18"/>
          <w:u w:val="single"/>
          <w:lang w:eastAsia="en-AU"/>
        </w:rPr>
      </w:pPr>
      <w:r w:rsidRPr="0041228D">
        <w:rPr>
          <w:spacing w:val="-2"/>
          <w:sz w:val="18"/>
          <w:szCs w:val="18"/>
          <w:lang w:eastAsia="en-AU"/>
        </w:rPr>
        <w:t xml:space="preserve">For enquiries concerning reproduction and rights in Commission products and services, please contact: </w:t>
      </w:r>
      <w:r w:rsidRPr="0041228D">
        <w:rPr>
          <w:spacing w:val="-2"/>
          <w:sz w:val="18"/>
          <w:szCs w:val="18"/>
          <w:lang w:eastAsia="en-AU"/>
        </w:rPr>
        <w:br/>
      </w:r>
      <w:hyperlink r:id="rId14" w:history="1">
        <w:r w:rsidRPr="0041228D">
          <w:rPr>
            <w:color w:val="0563C1" w:themeColor="hyperlink"/>
            <w:sz w:val="18"/>
            <w:szCs w:val="18"/>
            <w:u w:val="single"/>
            <w:lang w:eastAsia="en-AU"/>
          </w:rPr>
          <w:t>externalcomms@apsc.gov.au</w:t>
        </w:r>
      </w:hyperlink>
    </w:p>
    <w:p w14:paraId="02F8BAB2" w14:textId="266BB70E" w:rsidR="00514B6E" w:rsidRDefault="00514B6E">
      <w:pPr>
        <w:spacing w:line="360" w:lineRule="auto"/>
        <w:rPr>
          <w:sz w:val="16"/>
        </w:rPr>
      </w:pPr>
    </w:p>
    <w:p w14:paraId="0D5A50DB" w14:textId="38B4E661" w:rsidR="001E3433" w:rsidRDefault="001E3433">
      <w:pPr>
        <w:spacing w:line="360" w:lineRule="auto"/>
        <w:rPr>
          <w:sz w:val="16"/>
        </w:rPr>
      </w:pPr>
    </w:p>
    <w:p w14:paraId="0EF6E0AC" w14:textId="77777777" w:rsidR="001E3433" w:rsidRDefault="001E3433">
      <w:pPr>
        <w:spacing w:line="360" w:lineRule="auto"/>
        <w:rPr>
          <w:sz w:val="16"/>
        </w:rPr>
      </w:pPr>
    </w:p>
    <w:sdt>
      <w:sdtPr>
        <w:rPr>
          <w:rFonts w:asciiTheme="minorHAnsi" w:eastAsiaTheme="minorEastAsia" w:hAnsiTheme="minorHAnsi" w:cstheme="minorBidi"/>
          <w:color w:val="000000" w:themeColor="text1"/>
          <w:sz w:val="20"/>
          <w:szCs w:val="20"/>
          <w:lang w:val="en-AU"/>
        </w:rPr>
        <w:id w:val="-496734075"/>
        <w:docPartObj>
          <w:docPartGallery w:val="Table of Contents"/>
          <w:docPartUnique/>
        </w:docPartObj>
      </w:sdtPr>
      <w:sdtEndPr>
        <w:rPr>
          <w:rFonts w:asciiTheme="majorHAnsi" w:hAnsiTheme="majorHAnsi" w:cstheme="majorBidi"/>
          <w:color w:val="0D0D0D" w:themeColor="text1" w:themeTint="F2"/>
          <w:sz w:val="40"/>
          <w:szCs w:val="40"/>
          <w:lang w:val="en-US"/>
        </w:rPr>
      </w:sdtEndPr>
      <w:sdtContent>
        <w:p w14:paraId="7F478062" w14:textId="77777777" w:rsidR="00D60F35" w:rsidRDefault="00A9409E" w:rsidP="00A73D4D">
          <w:pPr>
            <w:pStyle w:val="TOCHeading"/>
            <w:rPr>
              <w:noProof/>
            </w:rPr>
          </w:pPr>
          <w:r w:rsidRPr="00A9409E">
            <w:t>Table of</w:t>
          </w:r>
          <w:r>
            <w:rPr>
              <w:b/>
            </w:rPr>
            <w:t xml:space="preserve"> </w:t>
          </w:r>
          <w:r w:rsidR="00514B6E">
            <w:t>Contents</w:t>
          </w:r>
          <w:r w:rsidR="00A73D4D">
            <w:fldChar w:fldCharType="begin"/>
          </w:r>
          <w:r w:rsidR="00A73D4D">
            <w:instrText xml:space="preserve"> TOC \o "1-2" \h \z \u </w:instrText>
          </w:r>
          <w:r w:rsidR="00A73D4D">
            <w:fldChar w:fldCharType="separate"/>
          </w:r>
        </w:p>
        <w:p w14:paraId="75152529" w14:textId="642256DA" w:rsidR="00D60F35" w:rsidRDefault="00260D55">
          <w:pPr>
            <w:pStyle w:val="TOC1"/>
            <w:rPr>
              <w:rFonts w:eastAsiaTheme="minorEastAsia"/>
              <w:b w:val="0"/>
              <w:noProof/>
              <w:color w:val="auto"/>
              <w:sz w:val="22"/>
              <w:lang w:eastAsia="en-AU"/>
            </w:rPr>
          </w:pPr>
          <w:hyperlink w:anchor="_Toc181715714" w:history="1">
            <w:r w:rsidR="00D60F35" w:rsidRPr="0019744B">
              <w:rPr>
                <w:rStyle w:val="Hyperlink"/>
                <w:noProof/>
              </w:rPr>
              <w:t>Introduction</w:t>
            </w:r>
            <w:r w:rsidR="00D60F35">
              <w:rPr>
                <w:noProof/>
                <w:webHidden/>
              </w:rPr>
              <w:tab/>
            </w:r>
            <w:r w:rsidR="00D60F35">
              <w:rPr>
                <w:noProof/>
                <w:webHidden/>
              </w:rPr>
              <w:fldChar w:fldCharType="begin"/>
            </w:r>
            <w:r w:rsidR="00D60F35">
              <w:rPr>
                <w:noProof/>
                <w:webHidden/>
              </w:rPr>
              <w:instrText xml:space="preserve"> PAGEREF _Toc181715714 \h </w:instrText>
            </w:r>
            <w:r w:rsidR="00D60F35">
              <w:rPr>
                <w:noProof/>
                <w:webHidden/>
              </w:rPr>
            </w:r>
            <w:r w:rsidR="00D60F35">
              <w:rPr>
                <w:noProof/>
                <w:webHidden/>
              </w:rPr>
              <w:fldChar w:fldCharType="separate"/>
            </w:r>
            <w:r w:rsidR="00D60F35">
              <w:rPr>
                <w:noProof/>
                <w:webHidden/>
              </w:rPr>
              <w:t>7</w:t>
            </w:r>
            <w:r w:rsidR="00D60F35">
              <w:rPr>
                <w:noProof/>
                <w:webHidden/>
              </w:rPr>
              <w:fldChar w:fldCharType="end"/>
            </w:r>
          </w:hyperlink>
        </w:p>
        <w:p w14:paraId="473F95F2" w14:textId="49E1CF4C" w:rsidR="00D60F35" w:rsidRDefault="00260D55">
          <w:pPr>
            <w:pStyle w:val="TOC1"/>
            <w:rPr>
              <w:rFonts w:eastAsiaTheme="minorEastAsia"/>
              <w:b w:val="0"/>
              <w:noProof/>
              <w:color w:val="auto"/>
              <w:sz w:val="22"/>
              <w:lang w:eastAsia="en-AU"/>
            </w:rPr>
          </w:pPr>
          <w:hyperlink w:anchor="_Toc181715715" w:history="1">
            <w:r w:rsidR="00D60F35" w:rsidRPr="0019744B">
              <w:rPr>
                <w:rStyle w:val="Hyperlink"/>
                <w:noProof/>
              </w:rPr>
              <w:t>Executive summary</w:t>
            </w:r>
            <w:r w:rsidR="00D60F35">
              <w:rPr>
                <w:noProof/>
                <w:webHidden/>
              </w:rPr>
              <w:tab/>
            </w:r>
            <w:r w:rsidR="00D60F35">
              <w:rPr>
                <w:noProof/>
                <w:webHidden/>
              </w:rPr>
              <w:fldChar w:fldCharType="begin"/>
            </w:r>
            <w:r w:rsidR="00D60F35">
              <w:rPr>
                <w:noProof/>
                <w:webHidden/>
              </w:rPr>
              <w:instrText xml:space="preserve"> PAGEREF _Toc181715715 \h </w:instrText>
            </w:r>
            <w:r w:rsidR="00D60F35">
              <w:rPr>
                <w:noProof/>
                <w:webHidden/>
              </w:rPr>
            </w:r>
            <w:r w:rsidR="00D60F35">
              <w:rPr>
                <w:noProof/>
                <w:webHidden/>
              </w:rPr>
              <w:fldChar w:fldCharType="separate"/>
            </w:r>
            <w:r w:rsidR="00D60F35">
              <w:rPr>
                <w:noProof/>
                <w:webHidden/>
              </w:rPr>
              <w:t>7</w:t>
            </w:r>
            <w:r w:rsidR="00D60F35">
              <w:rPr>
                <w:noProof/>
                <w:webHidden/>
              </w:rPr>
              <w:fldChar w:fldCharType="end"/>
            </w:r>
          </w:hyperlink>
        </w:p>
        <w:p w14:paraId="6D684F16" w14:textId="7A57565B" w:rsidR="00D60F35" w:rsidRDefault="00260D55">
          <w:pPr>
            <w:pStyle w:val="TOC1"/>
            <w:rPr>
              <w:rFonts w:eastAsiaTheme="minorEastAsia"/>
              <w:b w:val="0"/>
              <w:noProof/>
              <w:color w:val="auto"/>
              <w:sz w:val="22"/>
              <w:lang w:eastAsia="en-AU"/>
            </w:rPr>
          </w:pPr>
          <w:hyperlink w:anchor="_Toc181715716" w:history="1">
            <w:r w:rsidR="00D60F35" w:rsidRPr="0019744B">
              <w:rPr>
                <w:rStyle w:val="Hyperlink"/>
                <w:noProof/>
                <w:lang w:eastAsia="en-AU"/>
              </w:rPr>
              <w:t>Background</w:t>
            </w:r>
            <w:r w:rsidR="00D60F35">
              <w:rPr>
                <w:noProof/>
                <w:webHidden/>
              </w:rPr>
              <w:tab/>
            </w:r>
            <w:r w:rsidR="00D60F35">
              <w:rPr>
                <w:noProof/>
                <w:webHidden/>
              </w:rPr>
              <w:fldChar w:fldCharType="begin"/>
            </w:r>
            <w:r w:rsidR="00D60F35">
              <w:rPr>
                <w:noProof/>
                <w:webHidden/>
              </w:rPr>
              <w:instrText xml:space="preserve"> PAGEREF _Toc181715716 \h </w:instrText>
            </w:r>
            <w:r w:rsidR="00D60F35">
              <w:rPr>
                <w:noProof/>
                <w:webHidden/>
              </w:rPr>
            </w:r>
            <w:r w:rsidR="00D60F35">
              <w:rPr>
                <w:noProof/>
                <w:webHidden/>
              </w:rPr>
              <w:fldChar w:fldCharType="separate"/>
            </w:r>
            <w:r w:rsidR="00D60F35">
              <w:rPr>
                <w:noProof/>
                <w:webHidden/>
              </w:rPr>
              <w:t>7</w:t>
            </w:r>
            <w:r w:rsidR="00D60F35">
              <w:rPr>
                <w:noProof/>
                <w:webHidden/>
              </w:rPr>
              <w:fldChar w:fldCharType="end"/>
            </w:r>
          </w:hyperlink>
        </w:p>
        <w:p w14:paraId="55AEE797" w14:textId="24F301C8" w:rsidR="00D60F35" w:rsidRDefault="00260D55">
          <w:pPr>
            <w:pStyle w:val="TOC1"/>
            <w:rPr>
              <w:rFonts w:eastAsiaTheme="minorEastAsia"/>
              <w:b w:val="0"/>
              <w:noProof/>
              <w:color w:val="auto"/>
              <w:sz w:val="22"/>
              <w:lang w:eastAsia="en-AU"/>
            </w:rPr>
          </w:pPr>
          <w:hyperlink w:anchor="_Toc181715717" w:history="1">
            <w:r w:rsidR="00D60F35" w:rsidRPr="0019744B">
              <w:rPr>
                <w:rStyle w:val="Hyperlink"/>
                <w:noProof/>
                <w:lang w:eastAsia="en-AU"/>
              </w:rPr>
              <w:t>Purpose and scope</w:t>
            </w:r>
            <w:r w:rsidR="00D60F35">
              <w:rPr>
                <w:noProof/>
                <w:webHidden/>
              </w:rPr>
              <w:tab/>
            </w:r>
            <w:r w:rsidR="00D60F35">
              <w:rPr>
                <w:noProof/>
                <w:webHidden/>
              </w:rPr>
              <w:fldChar w:fldCharType="begin"/>
            </w:r>
            <w:r w:rsidR="00D60F35">
              <w:rPr>
                <w:noProof/>
                <w:webHidden/>
              </w:rPr>
              <w:instrText xml:space="preserve"> PAGEREF _Toc181715717 \h </w:instrText>
            </w:r>
            <w:r w:rsidR="00D60F35">
              <w:rPr>
                <w:noProof/>
                <w:webHidden/>
              </w:rPr>
            </w:r>
            <w:r w:rsidR="00D60F35">
              <w:rPr>
                <w:noProof/>
                <w:webHidden/>
              </w:rPr>
              <w:fldChar w:fldCharType="separate"/>
            </w:r>
            <w:r w:rsidR="00D60F35">
              <w:rPr>
                <w:noProof/>
                <w:webHidden/>
              </w:rPr>
              <w:t>8</w:t>
            </w:r>
            <w:r w:rsidR="00D60F35">
              <w:rPr>
                <w:noProof/>
                <w:webHidden/>
              </w:rPr>
              <w:fldChar w:fldCharType="end"/>
            </w:r>
          </w:hyperlink>
        </w:p>
        <w:p w14:paraId="31F77B93" w14:textId="18267EF0" w:rsidR="00D60F35" w:rsidRDefault="00260D55">
          <w:pPr>
            <w:pStyle w:val="TOC1"/>
            <w:rPr>
              <w:rFonts w:eastAsiaTheme="minorEastAsia"/>
              <w:b w:val="0"/>
              <w:noProof/>
              <w:color w:val="auto"/>
              <w:sz w:val="22"/>
              <w:lang w:eastAsia="en-AU"/>
            </w:rPr>
          </w:pPr>
          <w:hyperlink w:anchor="_Toc181715718" w:history="1">
            <w:r w:rsidR="00D60F35" w:rsidRPr="0019744B">
              <w:rPr>
                <w:rStyle w:val="Hyperlink"/>
                <w:noProof/>
                <w:lang w:eastAsia="en-AU"/>
              </w:rPr>
              <w:t>Methodology</w:t>
            </w:r>
            <w:r w:rsidR="00D60F35">
              <w:rPr>
                <w:noProof/>
                <w:webHidden/>
              </w:rPr>
              <w:tab/>
            </w:r>
            <w:r w:rsidR="00D60F35">
              <w:rPr>
                <w:noProof/>
                <w:webHidden/>
              </w:rPr>
              <w:fldChar w:fldCharType="begin"/>
            </w:r>
            <w:r w:rsidR="00D60F35">
              <w:rPr>
                <w:noProof/>
                <w:webHidden/>
              </w:rPr>
              <w:instrText xml:space="preserve"> PAGEREF _Toc181715718 \h </w:instrText>
            </w:r>
            <w:r w:rsidR="00D60F35">
              <w:rPr>
                <w:noProof/>
                <w:webHidden/>
              </w:rPr>
            </w:r>
            <w:r w:rsidR="00D60F35">
              <w:rPr>
                <w:noProof/>
                <w:webHidden/>
              </w:rPr>
              <w:fldChar w:fldCharType="separate"/>
            </w:r>
            <w:r w:rsidR="00D60F35">
              <w:rPr>
                <w:noProof/>
                <w:webHidden/>
              </w:rPr>
              <w:t>8</w:t>
            </w:r>
            <w:r w:rsidR="00D60F35">
              <w:rPr>
                <w:noProof/>
                <w:webHidden/>
              </w:rPr>
              <w:fldChar w:fldCharType="end"/>
            </w:r>
          </w:hyperlink>
        </w:p>
        <w:p w14:paraId="7E4C8992" w14:textId="3D0308BA" w:rsidR="00D60F35" w:rsidRDefault="00260D55">
          <w:pPr>
            <w:pStyle w:val="TOC1"/>
            <w:rPr>
              <w:rFonts w:eastAsiaTheme="minorEastAsia"/>
              <w:b w:val="0"/>
              <w:noProof/>
              <w:color w:val="auto"/>
              <w:sz w:val="22"/>
              <w:lang w:eastAsia="en-AU"/>
            </w:rPr>
          </w:pPr>
          <w:hyperlink w:anchor="_Toc181715719" w:history="1">
            <w:r w:rsidR="00D60F35" w:rsidRPr="0019744B">
              <w:rPr>
                <w:rStyle w:val="Hyperlink"/>
                <w:noProof/>
              </w:rPr>
              <w:t>Findings</w:t>
            </w:r>
            <w:r w:rsidR="00D60F35">
              <w:rPr>
                <w:noProof/>
                <w:webHidden/>
              </w:rPr>
              <w:tab/>
            </w:r>
            <w:r w:rsidR="00D60F35">
              <w:rPr>
                <w:noProof/>
                <w:webHidden/>
              </w:rPr>
              <w:fldChar w:fldCharType="begin"/>
            </w:r>
            <w:r w:rsidR="00D60F35">
              <w:rPr>
                <w:noProof/>
                <w:webHidden/>
              </w:rPr>
              <w:instrText xml:space="preserve"> PAGEREF _Toc181715719 \h </w:instrText>
            </w:r>
            <w:r w:rsidR="00D60F35">
              <w:rPr>
                <w:noProof/>
                <w:webHidden/>
              </w:rPr>
            </w:r>
            <w:r w:rsidR="00D60F35">
              <w:rPr>
                <w:noProof/>
                <w:webHidden/>
              </w:rPr>
              <w:fldChar w:fldCharType="separate"/>
            </w:r>
            <w:r w:rsidR="00D60F35">
              <w:rPr>
                <w:noProof/>
                <w:webHidden/>
              </w:rPr>
              <w:t>10</w:t>
            </w:r>
            <w:r w:rsidR="00D60F35">
              <w:rPr>
                <w:noProof/>
                <w:webHidden/>
              </w:rPr>
              <w:fldChar w:fldCharType="end"/>
            </w:r>
          </w:hyperlink>
        </w:p>
        <w:p w14:paraId="594697B4" w14:textId="36B12C09" w:rsidR="00D60F35" w:rsidRDefault="00260D55">
          <w:pPr>
            <w:pStyle w:val="TOC1"/>
            <w:rPr>
              <w:rFonts w:eastAsiaTheme="minorEastAsia"/>
              <w:b w:val="0"/>
              <w:noProof/>
              <w:color w:val="auto"/>
              <w:sz w:val="22"/>
              <w:lang w:eastAsia="en-AU"/>
            </w:rPr>
          </w:pPr>
          <w:hyperlink w:anchor="_Toc181715720" w:history="1">
            <w:r w:rsidR="00D60F35" w:rsidRPr="0019744B">
              <w:rPr>
                <w:rStyle w:val="Hyperlink"/>
                <w:noProof/>
              </w:rPr>
              <w:t>Overall Strategy impacts and challenges</w:t>
            </w:r>
            <w:r w:rsidR="00D60F35">
              <w:rPr>
                <w:noProof/>
                <w:webHidden/>
              </w:rPr>
              <w:tab/>
            </w:r>
            <w:r w:rsidR="00D60F35">
              <w:rPr>
                <w:noProof/>
                <w:webHidden/>
              </w:rPr>
              <w:fldChar w:fldCharType="begin"/>
            </w:r>
            <w:r w:rsidR="00D60F35">
              <w:rPr>
                <w:noProof/>
                <w:webHidden/>
              </w:rPr>
              <w:instrText xml:space="preserve"> PAGEREF _Toc181715720 \h </w:instrText>
            </w:r>
            <w:r w:rsidR="00D60F35">
              <w:rPr>
                <w:noProof/>
                <w:webHidden/>
              </w:rPr>
            </w:r>
            <w:r w:rsidR="00D60F35">
              <w:rPr>
                <w:noProof/>
                <w:webHidden/>
              </w:rPr>
              <w:fldChar w:fldCharType="separate"/>
            </w:r>
            <w:r w:rsidR="00D60F35">
              <w:rPr>
                <w:noProof/>
                <w:webHidden/>
              </w:rPr>
              <w:t>10</w:t>
            </w:r>
            <w:r w:rsidR="00D60F35">
              <w:rPr>
                <w:noProof/>
                <w:webHidden/>
              </w:rPr>
              <w:fldChar w:fldCharType="end"/>
            </w:r>
          </w:hyperlink>
        </w:p>
        <w:p w14:paraId="0436C35D" w14:textId="24239B60" w:rsidR="00D60F35" w:rsidRDefault="00260D55">
          <w:pPr>
            <w:pStyle w:val="TOC2"/>
            <w:rPr>
              <w:rFonts w:eastAsiaTheme="minorEastAsia"/>
              <w:noProof/>
              <w:color w:val="auto"/>
              <w:sz w:val="22"/>
              <w:lang w:eastAsia="en-AU"/>
            </w:rPr>
          </w:pPr>
          <w:hyperlink w:anchor="_Toc181715721" w:history="1">
            <w:r w:rsidR="00D60F35" w:rsidRPr="0019744B">
              <w:rPr>
                <w:rStyle w:val="Hyperlink"/>
                <w:noProof/>
              </w:rPr>
              <w:t>Positive impacts</w:t>
            </w:r>
            <w:r w:rsidR="00D60F35">
              <w:rPr>
                <w:noProof/>
                <w:webHidden/>
              </w:rPr>
              <w:tab/>
            </w:r>
            <w:r w:rsidR="00D60F35">
              <w:rPr>
                <w:noProof/>
                <w:webHidden/>
              </w:rPr>
              <w:fldChar w:fldCharType="begin"/>
            </w:r>
            <w:r w:rsidR="00D60F35">
              <w:rPr>
                <w:noProof/>
                <w:webHidden/>
              </w:rPr>
              <w:instrText xml:space="preserve"> PAGEREF _Toc181715721 \h </w:instrText>
            </w:r>
            <w:r w:rsidR="00D60F35">
              <w:rPr>
                <w:noProof/>
                <w:webHidden/>
              </w:rPr>
            </w:r>
            <w:r w:rsidR="00D60F35">
              <w:rPr>
                <w:noProof/>
                <w:webHidden/>
              </w:rPr>
              <w:fldChar w:fldCharType="separate"/>
            </w:r>
            <w:r w:rsidR="00D60F35">
              <w:rPr>
                <w:noProof/>
                <w:webHidden/>
              </w:rPr>
              <w:t>10</w:t>
            </w:r>
            <w:r w:rsidR="00D60F35">
              <w:rPr>
                <w:noProof/>
                <w:webHidden/>
              </w:rPr>
              <w:fldChar w:fldCharType="end"/>
            </w:r>
          </w:hyperlink>
        </w:p>
        <w:p w14:paraId="43F17AA3" w14:textId="39F1C987" w:rsidR="00D60F35" w:rsidRDefault="00260D55">
          <w:pPr>
            <w:pStyle w:val="TOC2"/>
            <w:rPr>
              <w:rFonts w:eastAsiaTheme="minorEastAsia"/>
              <w:noProof/>
              <w:color w:val="auto"/>
              <w:sz w:val="22"/>
              <w:lang w:eastAsia="en-AU"/>
            </w:rPr>
          </w:pPr>
          <w:hyperlink w:anchor="_Toc181715722" w:history="1">
            <w:r w:rsidR="00D60F35" w:rsidRPr="0019744B">
              <w:rPr>
                <w:rStyle w:val="Hyperlink"/>
                <w:noProof/>
              </w:rPr>
              <w:t>Implementation challenges</w:t>
            </w:r>
            <w:r w:rsidR="00D60F35">
              <w:rPr>
                <w:noProof/>
                <w:webHidden/>
              </w:rPr>
              <w:tab/>
            </w:r>
            <w:r w:rsidR="00D60F35">
              <w:rPr>
                <w:noProof/>
                <w:webHidden/>
              </w:rPr>
              <w:fldChar w:fldCharType="begin"/>
            </w:r>
            <w:r w:rsidR="00D60F35">
              <w:rPr>
                <w:noProof/>
                <w:webHidden/>
              </w:rPr>
              <w:instrText xml:space="preserve"> PAGEREF _Toc181715722 \h </w:instrText>
            </w:r>
            <w:r w:rsidR="00D60F35">
              <w:rPr>
                <w:noProof/>
                <w:webHidden/>
              </w:rPr>
            </w:r>
            <w:r w:rsidR="00D60F35">
              <w:rPr>
                <w:noProof/>
                <w:webHidden/>
              </w:rPr>
              <w:fldChar w:fldCharType="separate"/>
            </w:r>
            <w:r w:rsidR="00D60F35">
              <w:rPr>
                <w:noProof/>
                <w:webHidden/>
              </w:rPr>
              <w:t>11</w:t>
            </w:r>
            <w:r w:rsidR="00D60F35">
              <w:rPr>
                <w:noProof/>
                <w:webHidden/>
              </w:rPr>
              <w:fldChar w:fldCharType="end"/>
            </w:r>
          </w:hyperlink>
        </w:p>
        <w:p w14:paraId="21FA8D5E" w14:textId="2861F900" w:rsidR="00D60F35" w:rsidRDefault="00260D55">
          <w:pPr>
            <w:pStyle w:val="TOC1"/>
            <w:rPr>
              <w:rFonts w:eastAsiaTheme="minorEastAsia"/>
              <w:b w:val="0"/>
              <w:noProof/>
              <w:color w:val="auto"/>
              <w:sz w:val="22"/>
              <w:lang w:eastAsia="en-AU"/>
            </w:rPr>
          </w:pPr>
          <w:hyperlink w:anchor="_Toc181715723" w:history="1">
            <w:r w:rsidR="00D60F35" w:rsidRPr="0019744B">
              <w:rPr>
                <w:rStyle w:val="Hyperlink"/>
                <w:noProof/>
              </w:rPr>
              <w:t>Strategy impacts on Action Area 1: Leadership and accountability</w:t>
            </w:r>
            <w:r w:rsidR="00D60F35">
              <w:rPr>
                <w:noProof/>
                <w:webHidden/>
              </w:rPr>
              <w:tab/>
            </w:r>
            <w:r w:rsidR="00D60F35">
              <w:rPr>
                <w:noProof/>
                <w:webHidden/>
              </w:rPr>
              <w:fldChar w:fldCharType="begin"/>
            </w:r>
            <w:r w:rsidR="00D60F35">
              <w:rPr>
                <w:noProof/>
                <w:webHidden/>
              </w:rPr>
              <w:instrText xml:space="preserve"> PAGEREF _Toc181715723 \h </w:instrText>
            </w:r>
            <w:r w:rsidR="00D60F35">
              <w:rPr>
                <w:noProof/>
                <w:webHidden/>
              </w:rPr>
            </w:r>
            <w:r w:rsidR="00D60F35">
              <w:rPr>
                <w:noProof/>
                <w:webHidden/>
              </w:rPr>
              <w:fldChar w:fldCharType="separate"/>
            </w:r>
            <w:r w:rsidR="00D60F35">
              <w:rPr>
                <w:noProof/>
                <w:webHidden/>
              </w:rPr>
              <w:t>12</w:t>
            </w:r>
            <w:r w:rsidR="00D60F35">
              <w:rPr>
                <w:noProof/>
                <w:webHidden/>
              </w:rPr>
              <w:fldChar w:fldCharType="end"/>
            </w:r>
          </w:hyperlink>
        </w:p>
        <w:p w14:paraId="240E13EF" w14:textId="2720A225" w:rsidR="00D60F35" w:rsidRDefault="00260D55">
          <w:pPr>
            <w:pStyle w:val="TOC2"/>
            <w:rPr>
              <w:rFonts w:eastAsiaTheme="minorEastAsia"/>
              <w:noProof/>
              <w:color w:val="auto"/>
              <w:sz w:val="22"/>
              <w:lang w:eastAsia="en-AU"/>
            </w:rPr>
          </w:pPr>
          <w:hyperlink w:anchor="_Toc181715724" w:history="1">
            <w:r w:rsidR="00D60F35" w:rsidRPr="0019744B">
              <w:rPr>
                <w:rStyle w:val="Hyperlink"/>
                <w:noProof/>
              </w:rPr>
              <w:t>Agency commitment to the Strategy</w:t>
            </w:r>
            <w:r w:rsidR="00D60F35">
              <w:rPr>
                <w:noProof/>
                <w:webHidden/>
              </w:rPr>
              <w:tab/>
            </w:r>
            <w:r w:rsidR="00D60F35">
              <w:rPr>
                <w:noProof/>
                <w:webHidden/>
              </w:rPr>
              <w:fldChar w:fldCharType="begin"/>
            </w:r>
            <w:r w:rsidR="00D60F35">
              <w:rPr>
                <w:noProof/>
                <w:webHidden/>
              </w:rPr>
              <w:instrText xml:space="preserve"> PAGEREF _Toc181715724 \h </w:instrText>
            </w:r>
            <w:r w:rsidR="00D60F35">
              <w:rPr>
                <w:noProof/>
                <w:webHidden/>
              </w:rPr>
            </w:r>
            <w:r w:rsidR="00D60F35">
              <w:rPr>
                <w:noProof/>
                <w:webHidden/>
              </w:rPr>
              <w:fldChar w:fldCharType="separate"/>
            </w:r>
            <w:r w:rsidR="00D60F35">
              <w:rPr>
                <w:noProof/>
                <w:webHidden/>
              </w:rPr>
              <w:t>14</w:t>
            </w:r>
            <w:r w:rsidR="00D60F35">
              <w:rPr>
                <w:noProof/>
                <w:webHidden/>
              </w:rPr>
              <w:fldChar w:fldCharType="end"/>
            </w:r>
          </w:hyperlink>
        </w:p>
        <w:p w14:paraId="4B1F87EC" w14:textId="3463A2A6" w:rsidR="00D60F35" w:rsidRDefault="00260D55">
          <w:pPr>
            <w:pStyle w:val="TOC2"/>
            <w:rPr>
              <w:rFonts w:eastAsiaTheme="minorEastAsia"/>
              <w:noProof/>
              <w:color w:val="auto"/>
              <w:sz w:val="22"/>
              <w:lang w:eastAsia="en-AU"/>
            </w:rPr>
          </w:pPr>
          <w:hyperlink w:anchor="_Toc181715725" w:history="1">
            <w:r w:rsidR="00D60F35" w:rsidRPr="0019744B">
              <w:rPr>
                <w:rStyle w:val="Hyperlink"/>
                <w:noProof/>
              </w:rPr>
              <w:t>Strategy implementation efforts</w:t>
            </w:r>
            <w:r w:rsidR="00D60F35">
              <w:rPr>
                <w:noProof/>
                <w:webHidden/>
              </w:rPr>
              <w:tab/>
            </w:r>
            <w:r w:rsidR="00D60F35">
              <w:rPr>
                <w:noProof/>
                <w:webHidden/>
              </w:rPr>
              <w:fldChar w:fldCharType="begin"/>
            </w:r>
            <w:r w:rsidR="00D60F35">
              <w:rPr>
                <w:noProof/>
                <w:webHidden/>
              </w:rPr>
              <w:instrText xml:space="preserve"> PAGEREF _Toc181715725 \h </w:instrText>
            </w:r>
            <w:r w:rsidR="00D60F35">
              <w:rPr>
                <w:noProof/>
                <w:webHidden/>
              </w:rPr>
            </w:r>
            <w:r w:rsidR="00D60F35">
              <w:rPr>
                <w:noProof/>
                <w:webHidden/>
              </w:rPr>
              <w:fldChar w:fldCharType="separate"/>
            </w:r>
            <w:r w:rsidR="00D60F35">
              <w:rPr>
                <w:noProof/>
                <w:webHidden/>
              </w:rPr>
              <w:t>16</w:t>
            </w:r>
            <w:r w:rsidR="00D60F35">
              <w:rPr>
                <w:noProof/>
                <w:webHidden/>
              </w:rPr>
              <w:fldChar w:fldCharType="end"/>
            </w:r>
          </w:hyperlink>
        </w:p>
        <w:p w14:paraId="13AE493F" w14:textId="649EFFB5" w:rsidR="00D60F35" w:rsidRDefault="00260D55">
          <w:pPr>
            <w:pStyle w:val="TOC1"/>
            <w:rPr>
              <w:rFonts w:eastAsiaTheme="minorEastAsia"/>
              <w:b w:val="0"/>
              <w:noProof/>
              <w:color w:val="auto"/>
              <w:sz w:val="22"/>
              <w:lang w:eastAsia="en-AU"/>
            </w:rPr>
          </w:pPr>
          <w:hyperlink w:anchor="_Toc181715726" w:history="1">
            <w:r w:rsidR="00D60F35" w:rsidRPr="0019744B">
              <w:rPr>
                <w:rStyle w:val="Hyperlink"/>
                <w:noProof/>
              </w:rPr>
              <w:t>Strategy impacts on Action Area 2: Respectful workplaces and empowered people</w:t>
            </w:r>
            <w:r w:rsidR="00D60F35">
              <w:rPr>
                <w:noProof/>
                <w:webHidden/>
              </w:rPr>
              <w:tab/>
            </w:r>
            <w:r w:rsidR="00D60F35">
              <w:rPr>
                <w:noProof/>
                <w:webHidden/>
              </w:rPr>
              <w:fldChar w:fldCharType="begin"/>
            </w:r>
            <w:r w:rsidR="00D60F35">
              <w:rPr>
                <w:noProof/>
                <w:webHidden/>
              </w:rPr>
              <w:instrText xml:space="preserve"> PAGEREF _Toc181715726 \h </w:instrText>
            </w:r>
            <w:r w:rsidR="00D60F35">
              <w:rPr>
                <w:noProof/>
                <w:webHidden/>
              </w:rPr>
            </w:r>
            <w:r w:rsidR="00D60F35">
              <w:rPr>
                <w:noProof/>
                <w:webHidden/>
              </w:rPr>
              <w:fldChar w:fldCharType="separate"/>
            </w:r>
            <w:r w:rsidR="00D60F35">
              <w:rPr>
                <w:noProof/>
                <w:webHidden/>
              </w:rPr>
              <w:t>19</w:t>
            </w:r>
            <w:r w:rsidR="00D60F35">
              <w:rPr>
                <w:noProof/>
                <w:webHidden/>
              </w:rPr>
              <w:fldChar w:fldCharType="end"/>
            </w:r>
          </w:hyperlink>
        </w:p>
        <w:p w14:paraId="203CA791" w14:textId="2027444F" w:rsidR="00D60F35" w:rsidRDefault="00260D55">
          <w:pPr>
            <w:pStyle w:val="TOC2"/>
            <w:rPr>
              <w:rFonts w:eastAsiaTheme="minorEastAsia"/>
              <w:noProof/>
              <w:color w:val="auto"/>
              <w:sz w:val="22"/>
              <w:lang w:eastAsia="en-AU"/>
            </w:rPr>
          </w:pPr>
          <w:hyperlink w:anchor="_Toc181715727" w:history="1">
            <w:r w:rsidR="00D60F35" w:rsidRPr="0019744B">
              <w:rPr>
                <w:rStyle w:val="Hyperlink"/>
                <w:noProof/>
              </w:rPr>
              <w:t>Prevalence of harassment, bullying, and discrimination</w:t>
            </w:r>
            <w:r w:rsidR="00D60F35">
              <w:rPr>
                <w:noProof/>
                <w:webHidden/>
              </w:rPr>
              <w:tab/>
            </w:r>
            <w:r w:rsidR="00D60F35">
              <w:rPr>
                <w:noProof/>
                <w:webHidden/>
              </w:rPr>
              <w:fldChar w:fldCharType="begin"/>
            </w:r>
            <w:r w:rsidR="00D60F35">
              <w:rPr>
                <w:noProof/>
                <w:webHidden/>
              </w:rPr>
              <w:instrText xml:space="preserve"> PAGEREF _Toc181715727 \h </w:instrText>
            </w:r>
            <w:r w:rsidR="00D60F35">
              <w:rPr>
                <w:noProof/>
                <w:webHidden/>
              </w:rPr>
            </w:r>
            <w:r w:rsidR="00D60F35">
              <w:rPr>
                <w:noProof/>
                <w:webHidden/>
              </w:rPr>
              <w:fldChar w:fldCharType="separate"/>
            </w:r>
            <w:r w:rsidR="00D60F35">
              <w:rPr>
                <w:noProof/>
                <w:webHidden/>
              </w:rPr>
              <w:t>20</w:t>
            </w:r>
            <w:r w:rsidR="00D60F35">
              <w:rPr>
                <w:noProof/>
                <w:webHidden/>
              </w:rPr>
              <w:fldChar w:fldCharType="end"/>
            </w:r>
          </w:hyperlink>
        </w:p>
        <w:p w14:paraId="51F5298F" w14:textId="781D7DB2" w:rsidR="00D60F35" w:rsidRDefault="00260D55">
          <w:pPr>
            <w:pStyle w:val="TOC2"/>
            <w:rPr>
              <w:rFonts w:eastAsiaTheme="minorEastAsia"/>
              <w:noProof/>
              <w:color w:val="auto"/>
              <w:sz w:val="22"/>
              <w:lang w:eastAsia="en-AU"/>
            </w:rPr>
          </w:pPr>
          <w:hyperlink w:anchor="_Toc181715728" w:history="1">
            <w:r w:rsidR="00D60F35" w:rsidRPr="0019744B">
              <w:rPr>
                <w:rStyle w:val="Hyperlink"/>
                <w:noProof/>
              </w:rPr>
              <w:t>Reporting of bullying and harassment</w:t>
            </w:r>
            <w:r w:rsidR="00D60F35">
              <w:rPr>
                <w:noProof/>
                <w:webHidden/>
              </w:rPr>
              <w:tab/>
            </w:r>
            <w:r w:rsidR="00D60F35">
              <w:rPr>
                <w:noProof/>
                <w:webHidden/>
              </w:rPr>
              <w:fldChar w:fldCharType="begin"/>
            </w:r>
            <w:r w:rsidR="00D60F35">
              <w:rPr>
                <w:noProof/>
                <w:webHidden/>
              </w:rPr>
              <w:instrText xml:space="preserve"> PAGEREF _Toc181715728 \h </w:instrText>
            </w:r>
            <w:r w:rsidR="00D60F35">
              <w:rPr>
                <w:noProof/>
                <w:webHidden/>
              </w:rPr>
            </w:r>
            <w:r w:rsidR="00D60F35">
              <w:rPr>
                <w:noProof/>
                <w:webHidden/>
              </w:rPr>
              <w:fldChar w:fldCharType="separate"/>
            </w:r>
            <w:r w:rsidR="00D60F35">
              <w:rPr>
                <w:noProof/>
                <w:webHidden/>
              </w:rPr>
              <w:t>23</w:t>
            </w:r>
            <w:r w:rsidR="00D60F35">
              <w:rPr>
                <w:noProof/>
                <w:webHidden/>
              </w:rPr>
              <w:fldChar w:fldCharType="end"/>
            </w:r>
          </w:hyperlink>
        </w:p>
        <w:p w14:paraId="45484284" w14:textId="1FC2CFB3" w:rsidR="00D60F35" w:rsidRDefault="00260D55">
          <w:pPr>
            <w:pStyle w:val="TOC2"/>
            <w:rPr>
              <w:rFonts w:eastAsiaTheme="minorEastAsia"/>
              <w:noProof/>
              <w:color w:val="auto"/>
              <w:sz w:val="22"/>
              <w:lang w:eastAsia="en-AU"/>
            </w:rPr>
          </w:pPr>
          <w:hyperlink w:anchor="_Toc181715729" w:history="1">
            <w:r w:rsidR="00D60F35" w:rsidRPr="0019744B">
              <w:rPr>
                <w:rStyle w:val="Hyperlink"/>
                <w:noProof/>
              </w:rPr>
              <w:t>Prevention of bullying, harassment and discrimination</w:t>
            </w:r>
            <w:r w:rsidR="00D60F35">
              <w:rPr>
                <w:noProof/>
                <w:webHidden/>
              </w:rPr>
              <w:tab/>
            </w:r>
            <w:r w:rsidR="00D60F35">
              <w:rPr>
                <w:noProof/>
                <w:webHidden/>
              </w:rPr>
              <w:fldChar w:fldCharType="begin"/>
            </w:r>
            <w:r w:rsidR="00D60F35">
              <w:rPr>
                <w:noProof/>
                <w:webHidden/>
              </w:rPr>
              <w:instrText xml:space="preserve"> PAGEREF _Toc181715729 \h </w:instrText>
            </w:r>
            <w:r w:rsidR="00D60F35">
              <w:rPr>
                <w:noProof/>
                <w:webHidden/>
              </w:rPr>
            </w:r>
            <w:r w:rsidR="00D60F35">
              <w:rPr>
                <w:noProof/>
                <w:webHidden/>
              </w:rPr>
              <w:fldChar w:fldCharType="separate"/>
            </w:r>
            <w:r w:rsidR="00D60F35">
              <w:rPr>
                <w:noProof/>
                <w:webHidden/>
              </w:rPr>
              <w:t>24</w:t>
            </w:r>
            <w:r w:rsidR="00D60F35">
              <w:rPr>
                <w:noProof/>
                <w:webHidden/>
              </w:rPr>
              <w:fldChar w:fldCharType="end"/>
            </w:r>
          </w:hyperlink>
        </w:p>
        <w:p w14:paraId="002CAD8E" w14:textId="63B46830" w:rsidR="00D60F35" w:rsidRDefault="00260D55">
          <w:pPr>
            <w:pStyle w:val="TOC2"/>
            <w:rPr>
              <w:rFonts w:eastAsiaTheme="minorEastAsia"/>
              <w:noProof/>
              <w:color w:val="auto"/>
              <w:sz w:val="22"/>
              <w:lang w:eastAsia="en-AU"/>
            </w:rPr>
          </w:pPr>
          <w:hyperlink w:anchor="_Toc181715730" w:history="1">
            <w:r w:rsidR="00D60F35" w:rsidRPr="0019744B">
              <w:rPr>
                <w:rStyle w:val="Hyperlink"/>
                <w:noProof/>
              </w:rPr>
              <w:t>Prevention of sexual harassment</w:t>
            </w:r>
            <w:r w:rsidR="00D60F35">
              <w:rPr>
                <w:noProof/>
                <w:webHidden/>
              </w:rPr>
              <w:tab/>
            </w:r>
            <w:r w:rsidR="00D60F35">
              <w:rPr>
                <w:noProof/>
                <w:webHidden/>
              </w:rPr>
              <w:fldChar w:fldCharType="begin"/>
            </w:r>
            <w:r w:rsidR="00D60F35">
              <w:rPr>
                <w:noProof/>
                <w:webHidden/>
              </w:rPr>
              <w:instrText xml:space="preserve"> PAGEREF _Toc181715730 \h </w:instrText>
            </w:r>
            <w:r w:rsidR="00D60F35">
              <w:rPr>
                <w:noProof/>
                <w:webHidden/>
              </w:rPr>
            </w:r>
            <w:r w:rsidR="00D60F35">
              <w:rPr>
                <w:noProof/>
                <w:webHidden/>
              </w:rPr>
              <w:fldChar w:fldCharType="separate"/>
            </w:r>
            <w:r w:rsidR="00D60F35">
              <w:rPr>
                <w:noProof/>
                <w:webHidden/>
              </w:rPr>
              <w:t>27</w:t>
            </w:r>
            <w:r w:rsidR="00D60F35">
              <w:rPr>
                <w:noProof/>
                <w:webHidden/>
              </w:rPr>
              <w:fldChar w:fldCharType="end"/>
            </w:r>
          </w:hyperlink>
        </w:p>
        <w:p w14:paraId="4D0ACDC4" w14:textId="37F95131" w:rsidR="00D60F35" w:rsidRDefault="00260D55">
          <w:pPr>
            <w:pStyle w:val="TOC2"/>
            <w:rPr>
              <w:rFonts w:eastAsiaTheme="minorEastAsia"/>
              <w:noProof/>
              <w:color w:val="auto"/>
              <w:sz w:val="22"/>
              <w:lang w:eastAsia="en-AU"/>
            </w:rPr>
          </w:pPr>
          <w:hyperlink w:anchor="_Toc181715731" w:history="1">
            <w:r w:rsidR="00D60F35" w:rsidRPr="0019744B">
              <w:rPr>
                <w:rStyle w:val="Hyperlink"/>
                <w:noProof/>
              </w:rPr>
              <w:t>Legislative support for preventing sexual harassment</w:t>
            </w:r>
            <w:r w:rsidR="00D60F35">
              <w:rPr>
                <w:noProof/>
                <w:webHidden/>
              </w:rPr>
              <w:tab/>
            </w:r>
            <w:r w:rsidR="00D60F35">
              <w:rPr>
                <w:noProof/>
                <w:webHidden/>
              </w:rPr>
              <w:fldChar w:fldCharType="begin"/>
            </w:r>
            <w:r w:rsidR="00D60F35">
              <w:rPr>
                <w:noProof/>
                <w:webHidden/>
              </w:rPr>
              <w:instrText xml:space="preserve"> PAGEREF _Toc181715731 \h </w:instrText>
            </w:r>
            <w:r w:rsidR="00D60F35">
              <w:rPr>
                <w:noProof/>
                <w:webHidden/>
              </w:rPr>
            </w:r>
            <w:r w:rsidR="00D60F35">
              <w:rPr>
                <w:noProof/>
                <w:webHidden/>
              </w:rPr>
              <w:fldChar w:fldCharType="separate"/>
            </w:r>
            <w:r w:rsidR="00D60F35">
              <w:rPr>
                <w:noProof/>
                <w:webHidden/>
              </w:rPr>
              <w:t>28</w:t>
            </w:r>
            <w:r w:rsidR="00D60F35">
              <w:rPr>
                <w:noProof/>
                <w:webHidden/>
              </w:rPr>
              <w:fldChar w:fldCharType="end"/>
            </w:r>
          </w:hyperlink>
        </w:p>
        <w:p w14:paraId="3284C65A" w14:textId="7D8B53DC" w:rsidR="00D60F35" w:rsidRDefault="00260D55">
          <w:pPr>
            <w:pStyle w:val="TOC2"/>
            <w:rPr>
              <w:rFonts w:eastAsiaTheme="minorEastAsia"/>
              <w:noProof/>
              <w:color w:val="auto"/>
              <w:sz w:val="22"/>
              <w:lang w:eastAsia="en-AU"/>
            </w:rPr>
          </w:pPr>
          <w:hyperlink w:anchor="_Toc181715732" w:history="1">
            <w:r w:rsidR="00D60F35" w:rsidRPr="0019744B">
              <w:rPr>
                <w:rStyle w:val="Hyperlink"/>
                <w:noProof/>
              </w:rPr>
              <w:t>Gender inclusive communications</w:t>
            </w:r>
            <w:r w:rsidR="00D60F35">
              <w:rPr>
                <w:noProof/>
                <w:webHidden/>
              </w:rPr>
              <w:tab/>
            </w:r>
            <w:r w:rsidR="00D60F35">
              <w:rPr>
                <w:noProof/>
                <w:webHidden/>
              </w:rPr>
              <w:fldChar w:fldCharType="begin"/>
            </w:r>
            <w:r w:rsidR="00D60F35">
              <w:rPr>
                <w:noProof/>
                <w:webHidden/>
              </w:rPr>
              <w:instrText xml:space="preserve"> PAGEREF _Toc181715732 \h </w:instrText>
            </w:r>
            <w:r w:rsidR="00D60F35">
              <w:rPr>
                <w:noProof/>
                <w:webHidden/>
              </w:rPr>
            </w:r>
            <w:r w:rsidR="00D60F35">
              <w:rPr>
                <w:noProof/>
                <w:webHidden/>
              </w:rPr>
              <w:fldChar w:fldCharType="separate"/>
            </w:r>
            <w:r w:rsidR="00D60F35">
              <w:rPr>
                <w:noProof/>
                <w:webHidden/>
              </w:rPr>
              <w:t>29</w:t>
            </w:r>
            <w:r w:rsidR="00D60F35">
              <w:rPr>
                <w:noProof/>
                <w:webHidden/>
              </w:rPr>
              <w:fldChar w:fldCharType="end"/>
            </w:r>
          </w:hyperlink>
        </w:p>
        <w:p w14:paraId="2ABA2D02" w14:textId="0FB756C4" w:rsidR="00D60F35" w:rsidRDefault="00260D55">
          <w:pPr>
            <w:pStyle w:val="TOC2"/>
            <w:rPr>
              <w:rFonts w:eastAsiaTheme="minorEastAsia"/>
              <w:noProof/>
              <w:color w:val="auto"/>
              <w:sz w:val="22"/>
              <w:lang w:eastAsia="en-AU"/>
            </w:rPr>
          </w:pPr>
          <w:hyperlink w:anchor="_Toc181715733" w:history="1">
            <w:r w:rsidR="00D60F35" w:rsidRPr="0019744B">
              <w:rPr>
                <w:rStyle w:val="Hyperlink"/>
                <w:noProof/>
              </w:rPr>
              <w:t>Superannuation awareness</w:t>
            </w:r>
            <w:r w:rsidR="00D60F35">
              <w:rPr>
                <w:noProof/>
                <w:webHidden/>
              </w:rPr>
              <w:tab/>
            </w:r>
            <w:r w:rsidR="00D60F35">
              <w:rPr>
                <w:noProof/>
                <w:webHidden/>
              </w:rPr>
              <w:fldChar w:fldCharType="begin"/>
            </w:r>
            <w:r w:rsidR="00D60F35">
              <w:rPr>
                <w:noProof/>
                <w:webHidden/>
              </w:rPr>
              <w:instrText xml:space="preserve"> PAGEREF _Toc181715733 \h </w:instrText>
            </w:r>
            <w:r w:rsidR="00D60F35">
              <w:rPr>
                <w:noProof/>
                <w:webHidden/>
              </w:rPr>
            </w:r>
            <w:r w:rsidR="00D60F35">
              <w:rPr>
                <w:noProof/>
                <w:webHidden/>
              </w:rPr>
              <w:fldChar w:fldCharType="separate"/>
            </w:r>
            <w:r w:rsidR="00D60F35">
              <w:rPr>
                <w:noProof/>
                <w:webHidden/>
              </w:rPr>
              <w:t>29</w:t>
            </w:r>
            <w:r w:rsidR="00D60F35">
              <w:rPr>
                <w:noProof/>
                <w:webHidden/>
              </w:rPr>
              <w:fldChar w:fldCharType="end"/>
            </w:r>
          </w:hyperlink>
        </w:p>
        <w:p w14:paraId="435D760D" w14:textId="1BBFBE13" w:rsidR="00D60F35" w:rsidRDefault="00260D55">
          <w:pPr>
            <w:pStyle w:val="TOC1"/>
            <w:rPr>
              <w:rFonts w:eastAsiaTheme="minorEastAsia"/>
              <w:b w:val="0"/>
              <w:noProof/>
              <w:color w:val="auto"/>
              <w:sz w:val="22"/>
              <w:lang w:eastAsia="en-AU"/>
            </w:rPr>
          </w:pPr>
          <w:hyperlink w:anchor="_Toc181715734" w:history="1">
            <w:r w:rsidR="00D60F35" w:rsidRPr="0019744B">
              <w:rPr>
                <w:rStyle w:val="Hyperlink"/>
                <w:noProof/>
              </w:rPr>
              <w:t>Strategy impacts on Action Area 3: Shifting gender stereotypes</w:t>
            </w:r>
            <w:r w:rsidR="00D60F35">
              <w:rPr>
                <w:noProof/>
                <w:webHidden/>
              </w:rPr>
              <w:tab/>
            </w:r>
            <w:r w:rsidR="00D60F35">
              <w:rPr>
                <w:noProof/>
                <w:webHidden/>
              </w:rPr>
              <w:fldChar w:fldCharType="begin"/>
            </w:r>
            <w:r w:rsidR="00D60F35">
              <w:rPr>
                <w:noProof/>
                <w:webHidden/>
              </w:rPr>
              <w:instrText xml:space="preserve"> PAGEREF _Toc181715734 \h </w:instrText>
            </w:r>
            <w:r w:rsidR="00D60F35">
              <w:rPr>
                <w:noProof/>
                <w:webHidden/>
              </w:rPr>
            </w:r>
            <w:r w:rsidR="00D60F35">
              <w:rPr>
                <w:noProof/>
                <w:webHidden/>
              </w:rPr>
              <w:fldChar w:fldCharType="separate"/>
            </w:r>
            <w:r w:rsidR="00D60F35">
              <w:rPr>
                <w:noProof/>
                <w:webHidden/>
              </w:rPr>
              <w:t>31</w:t>
            </w:r>
            <w:r w:rsidR="00D60F35">
              <w:rPr>
                <w:noProof/>
                <w:webHidden/>
              </w:rPr>
              <w:fldChar w:fldCharType="end"/>
            </w:r>
          </w:hyperlink>
        </w:p>
        <w:p w14:paraId="73869FC5" w14:textId="3BF6AEC1" w:rsidR="00D60F35" w:rsidRDefault="00260D55">
          <w:pPr>
            <w:pStyle w:val="TOC2"/>
            <w:rPr>
              <w:rFonts w:eastAsiaTheme="minorEastAsia"/>
              <w:noProof/>
              <w:color w:val="auto"/>
              <w:sz w:val="22"/>
              <w:lang w:eastAsia="en-AU"/>
            </w:rPr>
          </w:pPr>
          <w:hyperlink w:anchor="_Toc181715735" w:history="1">
            <w:r w:rsidR="00D60F35" w:rsidRPr="0019744B">
              <w:rPr>
                <w:rStyle w:val="Hyperlink"/>
                <w:noProof/>
              </w:rPr>
              <w:t>Gender representation across job families</w:t>
            </w:r>
            <w:r w:rsidR="00D60F35">
              <w:rPr>
                <w:noProof/>
                <w:webHidden/>
              </w:rPr>
              <w:tab/>
            </w:r>
            <w:r w:rsidR="00D60F35">
              <w:rPr>
                <w:noProof/>
                <w:webHidden/>
              </w:rPr>
              <w:fldChar w:fldCharType="begin"/>
            </w:r>
            <w:r w:rsidR="00D60F35">
              <w:rPr>
                <w:noProof/>
                <w:webHidden/>
              </w:rPr>
              <w:instrText xml:space="preserve"> PAGEREF _Toc181715735 \h </w:instrText>
            </w:r>
            <w:r w:rsidR="00D60F35">
              <w:rPr>
                <w:noProof/>
                <w:webHidden/>
              </w:rPr>
            </w:r>
            <w:r w:rsidR="00D60F35">
              <w:rPr>
                <w:noProof/>
                <w:webHidden/>
              </w:rPr>
              <w:fldChar w:fldCharType="separate"/>
            </w:r>
            <w:r w:rsidR="00D60F35">
              <w:rPr>
                <w:noProof/>
                <w:webHidden/>
              </w:rPr>
              <w:t>32</w:t>
            </w:r>
            <w:r w:rsidR="00D60F35">
              <w:rPr>
                <w:noProof/>
                <w:webHidden/>
              </w:rPr>
              <w:fldChar w:fldCharType="end"/>
            </w:r>
          </w:hyperlink>
        </w:p>
        <w:p w14:paraId="0EAC3A9C" w14:textId="15FEC158" w:rsidR="00D60F35" w:rsidRDefault="00260D55">
          <w:pPr>
            <w:pStyle w:val="TOC2"/>
            <w:rPr>
              <w:rFonts w:eastAsiaTheme="minorEastAsia"/>
              <w:noProof/>
              <w:color w:val="auto"/>
              <w:sz w:val="22"/>
              <w:lang w:eastAsia="en-AU"/>
            </w:rPr>
          </w:pPr>
          <w:hyperlink w:anchor="_Toc181715736" w:history="1">
            <w:r w:rsidR="00D60F35" w:rsidRPr="0019744B">
              <w:rPr>
                <w:rStyle w:val="Hyperlink"/>
                <w:noProof/>
              </w:rPr>
              <w:t>Gender diversity in selection processes</w:t>
            </w:r>
            <w:r w:rsidR="00D60F35">
              <w:rPr>
                <w:noProof/>
                <w:webHidden/>
              </w:rPr>
              <w:tab/>
            </w:r>
            <w:r w:rsidR="00D60F35">
              <w:rPr>
                <w:noProof/>
                <w:webHidden/>
              </w:rPr>
              <w:fldChar w:fldCharType="begin"/>
            </w:r>
            <w:r w:rsidR="00D60F35">
              <w:rPr>
                <w:noProof/>
                <w:webHidden/>
              </w:rPr>
              <w:instrText xml:space="preserve"> PAGEREF _Toc181715736 \h </w:instrText>
            </w:r>
            <w:r w:rsidR="00D60F35">
              <w:rPr>
                <w:noProof/>
                <w:webHidden/>
              </w:rPr>
            </w:r>
            <w:r w:rsidR="00D60F35">
              <w:rPr>
                <w:noProof/>
                <w:webHidden/>
              </w:rPr>
              <w:fldChar w:fldCharType="separate"/>
            </w:r>
            <w:r w:rsidR="00D60F35">
              <w:rPr>
                <w:noProof/>
                <w:webHidden/>
              </w:rPr>
              <w:t>35</w:t>
            </w:r>
            <w:r w:rsidR="00D60F35">
              <w:rPr>
                <w:noProof/>
                <w:webHidden/>
              </w:rPr>
              <w:fldChar w:fldCharType="end"/>
            </w:r>
          </w:hyperlink>
        </w:p>
        <w:p w14:paraId="005137D6" w14:textId="254F593C" w:rsidR="00D60F35" w:rsidRDefault="00260D55">
          <w:pPr>
            <w:pStyle w:val="TOC2"/>
            <w:rPr>
              <w:rFonts w:eastAsiaTheme="minorEastAsia"/>
              <w:noProof/>
              <w:color w:val="auto"/>
              <w:sz w:val="22"/>
              <w:lang w:eastAsia="en-AU"/>
            </w:rPr>
          </w:pPr>
          <w:hyperlink w:anchor="_Toc181715737" w:history="1">
            <w:r w:rsidR="00D60F35" w:rsidRPr="0019744B">
              <w:rPr>
                <w:rStyle w:val="Hyperlink"/>
                <w:noProof/>
              </w:rPr>
              <w:t>Parental leave and carers</w:t>
            </w:r>
            <w:r w:rsidR="00D60F35">
              <w:rPr>
                <w:noProof/>
                <w:webHidden/>
              </w:rPr>
              <w:tab/>
            </w:r>
            <w:r w:rsidR="00D60F35">
              <w:rPr>
                <w:noProof/>
                <w:webHidden/>
              </w:rPr>
              <w:fldChar w:fldCharType="begin"/>
            </w:r>
            <w:r w:rsidR="00D60F35">
              <w:rPr>
                <w:noProof/>
                <w:webHidden/>
              </w:rPr>
              <w:instrText xml:space="preserve"> PAGEREF _Toc181715737 \h </w:instrText>
            </w:r>
            <w:r w:rsidR="00D60F35">
              <w:rPr>
                <w:noProof/>
                <w:webHidden/>
              </w:rPr>
            </w:r>
            <w:r w:rsidR="00D60F35">
              <w:rPr>
                <w:noProof/>
                <w:webHidden/>
              </w:rPr>
              <w:fldChar w:fldCharType="separate"/>
            </w:r>
            <w:r w:rsidR="00D60F35">
              <w:rPr>
                <w:noProof/>
                <w:webHidden/>
              </w:rPr>
              <w:t>36</w:t>
            </w:r>
            <w:r w:rsidR="00D60F35">
              <w:rPr>
                <w:noProof/>
                <w:webHidden/>
              </w:rPr>
              <w:fldChar w:fldCharType="end"/>
            </w:r>
          </w:hyperlink>
        </w:p>
        <w:p w14:paraId="46D7B2F5" w14:textId="16F730D0" w:rsidR="00D60F35" w:rsidRDefault="00260D55">
          <w:pPr>
            <w:pStyle w:val="TOC1"/>
            <w:rPr>
              <w:rFonts w:eastAsiaTheme="minorEastAsia"/>
              <w:b w:val="0"/>
              <w:noProof/>
              <w:color w:val="auto"/>
              <w:sz w:val="22"/>
              <w:lang w:eastAsia="en-AU"/>
            </w:rPr>
          </w:pPr>
          <w:hyperlink w:anchor="_Toc181715738" w:history="1">
            <w:r w:rsidR="00D60F35" w:rsidRPr="0019744B">
              <w:rPr>
                <w:rStyle w:val="Hyperlink"/>
                <w:noProof/>
              </w:rPr>
              <w:t>Strategy impacts on Action Area 4: Flexible ways of working</w:t>
            </w:r>
            <w:r w:rsidR="00D60F35">
              <w:rPr>
                <w:noProof/>
                <w:webHidden/>
              </w:rPr>
              <w:tab/>
            </w:r>
            <w:r w:rsidR="00D60F35">
              <w:rPr>
                <w:noProof/>
                <w:webHidden/>
              </w:rPr>
              <w:fldChar w:fldCharType="begin"/>
            </w:r>
            <w:r w:rsidR="00D60F35">
              <w:rPr>
                <w:noProof/>
                <w:webHidden/>
              </w:rPr>
              <w:instrText xml:space="preserve"> PAGEREF _Toc181715738 \h </w:instrText>
            </w:r>
            <w:r w:rsidR="00D60F35">
              <w:rPr>
                <w:noProof/>
                <w:webHidden/>
              </w:rPr>
            </w:r>
            <w:r w:rsidR="00D60F35">
              <w:rPr>
                <w:noProof/>
                <w:webHidden/>
              </w:rPr>
              <w:fldChar w:fldCharType="separate"/>
            </w:r>
            <w:r w:rsidR="00D60F35">
              <w:rPr>
                <w:noProof/>
                <w:webHidden/>
              </w:rPr>
              <w:t>38</w:t>
            </w:r>
            <w:r w:rsidR="00D60F35">
              <w:rPr>
                <w:noProof/>
                <w:webHidden/>
              </w:rPr>
              <w:fldChar w:fldCharType="end"/>
            </w:r>
          </w:hyperlink>
        </w:p>
        <w:p w14:paraId="5BF92CE8" w14:textId="479B9294" w:rsidR="00D60F35" w:rsidRDefault="00260D55">
          <w:pPr>
            <w:pStyle w:val="TOC2"/>
            <w:rPr>
              <w:rFonts w:eastAsiaTheme="minorEastAsia"/>
              <w:noProof/>
              <w:color w:val="auto"/>
              <w:sz w:val="22"/>
              <w:lang w:eastAsia="en-AU"/>
            </w:rPr>
          </w:pPr>
          <w:hyperlink w:anchor="_Toc181715739" w:history="1">
            <w:r w:rsidR="00D60F35" w:rsidRPr="0019744B">
              <w:rPr>
                <w:rStyle w:val="Hyperlink"/>
                <w:noProof/>
              </w:rPr>
              <w:t>Access of flexible work arrangements</w:t>
            </w:r>
            <w:r w:rsidR="00D60F35">
              <w:rPr>
                <w:noProof/>
                <w:webHidden/>
              </w:rPr>
              <w:tab/>
            </w:r>
            <w:r w:rsidR="00D60F35">
              <w:rPr>
                <w:noProof/>
                <w:webHidden/>
              </w:rPr>
              <w:fldChar w:fldCharType="begin"/>
            </w:r>
            <w:r w:rsidR="00D60F35">
              <w:rPr>
                <w:noProof/>
                <w:webHidden/>
              </w:rPr>
              <w:instrText xml:space="preserve"> PAGEREF _Toc181715739 \h </w:instrText>
            </w:r>
            <w:r w:rsidR="00D60F35">
              <w:rPr>
                <w:noProof/>
                <w:webHidden/>
              </w:rPr>
            </w:r>
            <w:r w:rsidR="00D60F35">
              <w:rPr>
                <w:noProof/>
                <w:webHidden/>
              </w:rPr>
              <w:fldChar w:fldCharType="separate"/>
            </w:r>
            <w:r w:rsidR="00D60F35">
              <w:rPr>
                <w:noProof/>
                <w:webHidden/>
              </w:rPr>
              <w:t>39</w:t>
            </w:r>
            <w:r w:rsidR="00D60F35">
              <w:rPr>
                <w:noProof/>
                <w:webHidden/>
              </w:rPr>
              <w:fldChar w:fldCharType="end"/>
            </w:r>
          </w:hyperlink>
        </w:p>
        <w:p w14:paraId="013CA896" w14:textId="18F01B72" w:rsidR="00D60F35" w:rsidRDefault="00260D55">
          <w:pPr>
            <w:pStyle w:val="TOC2"/>
            <w:rPr>
              <w:rFonts w:eastAsiaTheme="minorEastAsia"/>
              <w:noProof/>
              <w:color w:val="auto"/>
              <w:sz w:val="22"/>
              <w:lang w:eastAsia="en-AU"/>
            </w:rPr>
          </w:pPr>
          <w:hyperlink w:anchor="_Toc181715740" w:history="1">
            <w:r w:rsidR="00D60F35" w:rsidRPr="0019744B">
              <w:rPr>
                <w:rStyle w:val="Hyperlink"/>
                <w:noProof/>
              </w:rPr>
              <w:t>Improving access to flexible work practices</w:t>
            </w:r>
            <w:r w:rsidR="00D60F35">
              <w:rPr>
                <w:noProof/>
                <w:webHidden/>
              </w:rPr>
              <w:tab/>
            </w:r>
            <w:r w:rsidR="00D60F35">
              <w:rPr>
                <w:noProof/>
                <w:webHidden/>
              </w:rPr>
              <w:fldChar w:fldCharType="begin"/>
            </w:r>
            <w:r w:rsidR="00D60F35">
              <w:rPr>
                <w:noProof/>
                <w:webHidden/>
              </w:rPr>
              <w:instrText xml:space="preserve"> PAGEREF _Toc181715740 \h </w:instrText>
            </w:r>
            <w:r w:rsidR="00D60F35">
              <w:rPr>
                <w:noProof/>
                <w:webHidden/>
              </w:rPr>
            </w:r>
            <w:r w:rsidR="00D60F35">
              <w:rPr>
                <w:noProof/>
                <w:webHidden/>
              </w:rPr>
              <w:fldChar w:fldCharType="separate"/>
            </w:r>
            <w:r w:rsidR="00D60F35">
              <w:rPr>
                <w:noProof/>
                <w:webHidden/>
              </w:rPr>
              <w:t>44</w:t>
            </w:r>
            <w:r w:rsidR="00D60F35">
              <w:rPr>
                <w:noProof/>
                <w:webHidden/>
              </w:rPr>
              <w:fldChar w:fldCharType="end"/>
            </w:r>
          </w:hyperlink>
        </w:p>
        <w:p w14:paraId="0F1C2FFA" w14:textId="2DE1932E" w:rsidR="00D60F35" w:rsidRDefault="00260D55">
          <w:pPr>
            <w:pStyle w:val="TOC1"/>
            <w:rPr>
              <w:rFonts w:eastAsiaTheme="minorEastAsia"/>
              <w:b w:val="0"/>
              <w:noProof/>
              <w:color w:val="auto"/>
              <w:sz w:val="22"/>
              <w:lang w:eastAsia="en-AU"/>
            </w:rPr>
          </w:pPr>
          <w:hyperlink w:anchor="_Toc181715741" w:history="1">
            <w:r w:rsidR="00D60F35" w:rsidRPr="0019744B">
              <w:rPr>
                <w:rStyle w:val="Hyperlink"/>
                <w:noProof/>
              </w:rPr>
              <w:t>Strategy impacts on Action Area 5: Gender data</w:t>
            </w:r>
            <w:r w:rsidR="00D60F35">
              <w:rPr>
                <w:noProof/>
                <w:webHidden/>
              </w:rPr>
              <w:tab/>
            </w:r>
            <w:r w:rsidR="00D60F35">
              <w:rPr>
                <w:noProof/>
                <w:webHidden/>
              </w:rPr>
              <w:fldChar w:fldCharType="begin"/>
            </w:r>
            <w:r w:rsidR="00D60F35">
              <w:rPr>
                <w:noProof/>
                <w:webHidden/>
              </w:rPr>
              <w:instrText xml:space="preserve"> PAGEREF _Toc181715741 \h </w:instrText>
            </w:r>
            <w:r w:rsidR="00D60F35">
              <w:rPr>
                <w:noProof/>
                <w:webHidden/>
              </w:rPr>
            </w:r>
            <w:r w:rsidR="00D60F35">
              <w:rPr>
                <w:noProof/>
                <w:webHidden/>
              </w:rPr>
              <w:fldChar w:fldCharType="separate"/>
            </w:r>
            <w:r w:rsidR="00D60F35">
              <w:rPr>
                <w:noProof/>
                <w:webHidden/>
              </w:rPr>
              <w:t>46</w:t>
            </w:r>
            <w:r w:rsidR="00D60F35">
              <w:rPr>
                <w:noProof/>
                <w:webHidden/>
              </w:rPr>
              <w:fldChar w:fldCharType="end"/>
            </w:r>
          </w:hyperlink>
        </w:p>
        <w:p w14:paraId="4769471D" w14:textId="62E0DE2F" w:rsidR="00D60F35" w:rsidRDefault="00260D55">
          <w:pPr>
            <w:pStyle w:val="TOC2"/>
            <w:rPr>
              <w:rFonts w:eastAsiaTheme="minorEastAsia"/>
              <w:noProof/>
              <w:color w:val="auto"/>
              <w:sz w:val="22"/>
              <w:lang w:eastAsia="en-AU"/>
            </w:rPr>
          </w:pPr>
          <w:hyperlink w:anchor="_Toc181715742" w:history="1">
            <w:r w:rsidR="00D60F35" w:rsidRPr="0019744B">
              <w:rPr>
                <w:rStyle w:val="Hyperlink"/>
                <w:noProof/>
              </w:rPr>
              <w:t>APS Gender Pay Gap</w:t>
            </w:r>
            <w:r w:rsidR="00D60F35">
              <w:rPr>
                <w:noProof/>
                <w:webHidden/>
              </w:rPr>
              <w:tab/>
            </w:r>
            <w:r w:rsidR="00D60F35">
              <w:rPr>
                <w:noProof/>
                <w:webHidden/>
              </w:rPr>
              <w:fldChar w:fldCharType="begin"/>
            </w:r>
            <w:r w:rsidR="00D60F35">
              <w:rPr>
                <w:noProof/>
                <w:webHidden/>
              </w:rPr>
              <w:instrText xml:space="preserve"> PAGEREF _Toc181715742 \h </w:instrText>
            </w:r>
            <w:r w:rsidR="00D60F35">
              <w:rPr>
                <w:noProof/>
                <w:webHidden/>
              </w:rPr>
            </w:r>
            <w:r w:rsidR="00D60F35">
              <w:rPr>
                <w:noProof/>
                <w:webHidden/>
              </w:rPr>
              <w:fldChar w:fldCharType="separate"/>
            </w:r>
            <w:r w:rsidR="00D60F35">
              <w:rPr>
                <w:noProof/>
                <w:webHidden/>
              </w:rPr>
              <w:t>48</w:t>
            </w:r>
            <w:r w:rsidR="00D60F35">
              <w:rPr>
                <w:noProof/>
                <w:webHidden/>
              </w:rPr>
              <w:fldChar w:fldCharType="end"/>
            </w:r>
          </w:hyperlink>
        </w:p>
        <w:p w14:paraId="2CD9F8D8" w14:textId="36801711" w:rsidR="00D60F35" w:rsidRDefault="00260D55">
          <w:pPr>
            <w:pStyle w:val="TOC2"/>
            <w:rPr>
              <w:rFonts w:eastAsiaTheme="minorEastAsia"/>
              <w:noProof/>
              <w:color w:val="auto"/>
              <w:sz w:val="22"/>
              <w:lang w:eastAsia="en-AU"/>
            </w:rPr>
          </w:pPr>
          <w:hyperlink w:anchor="_Toc181715743" w:history="1">
            <w:r w:rsidR="00D60F35" w:rsidRPr="0019744B">
              <w:rPr>
                <w:rStyle w:val="Hyperlink"/>
                <w:noProof/>
              </w:rPr>
              <w:t>Agencies understanding their gender pay gap</w:t>
            </w:r>
            <w:r w:rsidR="00D60F35">
              <w:rPr>
                <w:noProof/>
                <w:webHidden/>
              </w:rPr>
              <w:tab/>
            </w:r>
            <w:r w:rsidR="00D60F35">
              <w:rPr>
                <w:noProof/>
                <w:webHidden/>
              </w:rPr>
              <w:fldChar w:fldCharType="begin"/>
            </w:r>
            <w:r w:rsidR="00D60F35">
              <w:rPr>
                <w:noProof/>
                <w:webHidden/>
              </w:rPr>
              <w:instrText xml:space="preserve"> PAGEREF _Toc181715743 \h </w:instrText>
            </w:r>
            <w:r w:rsidR="00D60F35">
              <w:rPr>
                <w:noProof/>
                <w:webHidden/>
              </w:rPr>
            </w:r>
            <w:r w:rsidR="00D60F35">
              <w:rPr>
                <w:noProof/>
                <w:webHidden/>
              </w:rPr>
              <w:fldChar w:fldCharType="separate"/>
            </w:r>
            <w:r w:rsidR="00D60F35">
              <w:rPr>
                <w:noProof/>
                <w:webHidden/>
              </w:rPr>
              <w:t>49</w:t>
            </w:r>
            <w:r w:rsidR="00D60F35">
              <w:rPr>
                <w:noProof/>
                <w:webHidden/>
              </w:rPr>
              <w:fldChar w:fldCharType="end"/>
            </w:r>
          </w:hyperlink>
        </w:p>
        <w:p w14:paraId="412C3569" w14:textId="3A9A3955" w:rsidR="00D60F35" w:rsidRDefault="00260D55">
          <w:pPr>
            <w:pStyle w:val="TOC2"/>
            <w:rPr>
              <w:rFonts w:eastAsiaTheme="minorEastAsia"/>
              <w:noProof/>
              <w:color w:val="auto"/>
              <w:sz w:val="22"/>
              <w:lang w:eastAsia="en-AU"/>
            </w:rPr>
          </w:pPr>
          <w:hyperlink w:anchor="_Toc181715744" w:history="1">
            <w:r w:rsidR="00D60F35" w:rsidRPr="0019744B">
              <w:rPr>
                <w:rStyle w:val="Hyperlink"/>
                <w:noProof/>
              </w:rPr>
              <w:t>Agency gender and diversity data collection and analysis</w:t>
            </w:r>
            <w:r w:rsidR="00D60F35">
              <w:rPr>
                <w:noProof/>
                <w:webHidden/>
              </w:rPr>
              <w:tab/>
            </w:r>
            <w:r w:rsidR="00D60F35">
              <w:rPr>
                <w:noProof/>
                <w:webHidden/>
              </w:rPr>
              <w:fldChar w:fldCharType="begin"/>
            </w:r>
            <w:r w:rsidR="00D60F35">
              <w:rPr>
                <w:noProof/>
                <w:webHidden/>
              </w:rPr>
              <w:instrText xml:space="preserve"> PAGEREF _Toc181715744 \h </w:instrText>
            </w:r>
            <w:r w:rsidR="00D60F35">
              <w:rPr>
                <w:noProof/>
                <w:webHidden/>
              </w:rPr>
            </w:r>
            <w:r w:rsidR="00D60F35">
              <w:rPr>
                <w:noProof/>
                <w:webHidden/>
              </w:rPr>
              <w:fldChar w:fldCharType="separate"/>
            </w:r>
            <w:r w:rsidR="00D60F35">
              <w:rPr>
                <w:noProof/>
                <w:webHidden/>
              </w:rPr>
              <w:t>50</w:t>
            </w:r>
            <w:r w:rsidR="00D60F35">
              <w:rPr>
                <w:noProof/>
                <w:webHidden/>
              </w:rPr>
              <w:fldChar w:fldCharType="end"/>
            </w:r>
          </w:hyperlink>
        </w:p>
        <w:p w14:paraId="5809C6CC" w14:textId="7916B63F" w:rsidR="00D60F35" w:rsidRDefault="00260D55">
          <w:pPr>
            <w:pStyle w:val="TOC2"/>
            <w:rPr>
              <w:rFonts w:eastAsiaTheme="minorEastAsia"/>
              <w:noProof/>
              <w:color w:val="auto"/>
              <w:sz w:val="22"/>
              <w:lang w:eastAsia="en-AU"/>
            </w:rPr>
          </w:pPr>
          <w:hyperlink w:anchor="_Toc181715745" w:history="1">
            <w:r w:rsidR="00D60F35" w:rsidRPr="0019744B">
              <w:rPr>
                <w:rStyle w:val="Hyperlink"/>
                <w:noProof/>
              </w:rPr>
              <w:t>Gender representation across APS classification levels</w:t>
            </w:r>
            <w:r w:rsidR="00D60F35">
              <w:rPr>
                <w:noProof/>
                <w:webHidden/>
              </w:rPr>
              <w:tab/>
            </w:r>
            <w:r w:rsidR="00D60F35">
              <w:rPr>
                <w:noProof/>
                <w:webHidden/>
              </w:rPr>
              <w:fldChar w:fldCharType="begin"/>
            </w:r>
            <w:r w:rsidR="00D60F35">
              <w:rPr>
                <w:noProof/>
                <w:webHidden/>
              </w:rPr>
              <w:instrText xml:space="preserve"> PAGEREF _Toc181715745 \h </w:instrText>
            </w:r>
            <w:r w:rsidR="00D60F35">
              <w:rPr>
                <w:noProof/>
                <w:webHidden/>
              </w:rPr>
            </w:r>
            <w:r w:rsidR="00D60F35">
              <w:rPr>
                <w:noProof/>
                <w:webHidden/>
              </w:rPr>
              <w:fldChar w:fldCharType="separate"/>
            </w:r>
            <w:r w:rsidR="00D60F35">
              <w:rPr>
                <w:noProof/>
                <w:webHidden/>
              </w:rPr>
              <w:t>51</w:t>
            </w:r>
            <w:r w:rsidR="00D60F35">
              <w:rPr>
                <w:noProof/>
                <w:webHidden/>
              </w:rPr>
              <w:fldChar w:fldCharType="end"/>
            </w:r>
          </w:hyperlink>
        </w:p>
        <w:p w14:paraId="0A1C6F28" w14:textId="3D47F521" w:rsidR="00D60F35" w:rsidRDefault="00260D55">
          <w:pPr>
            <w:pStyle w:val="TOC2"/>
            <w:rPr>
              <w:rFonts w:eastAsiaTheme="minorEastAsia"/>
              <w:noProof/>
              <w:color w:val="auto"/>
              <w:sz w:val="22"/>
              <w:lang w:eastAsia="en-AU"/>
            </w:rPr>
          </w:pPr>
          <w:hyperlink w:anchor="_Toc181715746" w:history="1">
            <w:r w:rsidR="00D60F35" w:rsidRPr="0019744B">
              <w:rPr>
                <w:rStyle w:val="Hyperlink"/>
                <w:noProof/>
              </w:rPr>
              <w:t>Individual Flexibility Arrangement (IFAs) by gender</w:t>
            </w:r>
            <w:r w:rsidR="00D60F35">
              <w:rPr>
                <w:noProof/>
                <w:webHidden/>
              </w:rPr>
              <w:tab/>
            </w:r>
            <w:r w:rsidR="00D60F35">
              <w:rPr>
                <w:noProof/>
                <w:webHidden/>
              </w:rPr>
              <w:fldChar w:fldCharType="begin"/>
            </w:r>
            <w:r w:rsidR="00D60F35">
              <w:rPr>
                <w:noProof/>
                <w:webHidden/>
              </w:rPr>
              <w:instrText xml:space="preserve"> PAGEREF _Toc181715746 \h </w:instrText>
            </w:r>
            <w:r w:rsidR="00D60F35">
              <w:rPr>
                <w:noProof/>
                <w:webHidden/>
              </w:rPr>
            </w:r>
            <w:r w:rsidR="00D60F35">
              <w:rPr>
                <w:noProof/>
                <w:webHidden/>
              </w:rPr>
              <w:fldChar w:fldCharType="separate"/>
            </w:r>
            <w:r w:rsidR="00D60F35">
              <w:rPr>
                <w:noProof/>
                <w:webHidden/>
              </w:rPr>
              <w:t>52</w:t>
            </w:r>
            <w:r w:rsidR="00D60F35">
              <w:rPr>
                <w:noProof/>
                <w:webHidden/>
              </w:rPr>
              <w:fldChar w:fldCharType="end"/>
            </w:r>
          </w:hyperlink>
        </w:p>
        <w:p w14:paraId="7FE10C59" w14:textId="154F960B" w:rsidR="00D60F35" w:rsidRDefault="00260D55">
          <w:pPr>
            <w:pStyle w:val="TOC2"/>
            <w:rPr>
              <w:rFonts w:eastAsiaTheme="minorEastAsia"/>
              <w:noProof/>
              <w:color w:val="auto"/>
              <w:sz w:val="22"/>
              <w:lang w:eastAsia="en-AU"/>
            </w:rPr>
          </w:pPr>
          <w:hyperlink w:anchor="_Toc181715747" w:history="1">
            <w:r w:rsidR="00D60F35" w:rsidRPr="0019744B">
              <w:rPr>
                <w:rStyle w:val="Hyperlink"/>
                <w:noProof/>
              </w:rPr>
              <w:t>Gender dynamics in the APS workforce</w:t>
            </w:r>
            <w:r w:rsidR="00D60F35">
              <w:rPr>
                <w:noProof/>
                <w:webHidden/>
              </w:rPr>
              <w:tab/>
            </w:r>
            <w:r w:rsidR="00D60F35">
              <w:rPr>
                <w:noProof/>
                <w:webHidden/>
              </w:rPr>
              <w:fldChar w:fldCharType="begin"/>
            </w:r>
            <w:r w:rsidR="00D60F35">
              <w:rPr>
                <w:noProof/>
                <w:webHidden/>
              </w:rPr>
              <w:instrText xml:space="preserve"> PAGEREF _Toc181715747 \h </w:instrText>
            </w:r>
            <w:r w:rsidR="00D60F35">
              <w:rPr>
                <w:noProof/>
                <w:webHidden/>
              </w:rPr>
            </w:r>
            <w:r w:rsidR="00D60F35">
              <w:rPr>
                <w:noProof/>
                <w:webHidden/>
              </w:rPr>
              <w:fldChar w:fldCharType="separate"/>
            </w:r>
            <w:r w:rsidR="00D60F35">
              <w:rPr>
                <w:noProof/>
                <w:webHidden/>
              </w:rPr>
              <w:t>53</w:t>
            </w:r>
            <w:r w:rsidR="00D60F35">
              <w:rPr>
                <w:noProof/>
                <w:webHidden/>
              </w:rPr>
              <w:fldChar w:fldCharType="end"/>
            </w:r>
          </w:hyperlink>
        </w:p>
        <w:p w14:paraId="77A3A2B9" w14:textId="56054639" w:rsidR="00D60F35" w:rsidRDefault="00260D55">
          <w:pPr>
            <w:pStyle w:val="TOC1"/>
            <w:rPr>
              <w:rFonts w:eastAsiaTheme="minorEastAsia"/>
              <w:b w:val="0"/>
              <w:noProof/>
              <w:color w:val="auto"/>
              <w:sz w:val="22"/>
              <w:lang w:eastAsia="en-AU"/>
            </w:rPr>
          </w:pPr>
          <w:hyperlink w:anchor="_Toc181715748" w:history="1">
            <w:r w:rsidR="00D60F35" w:rsidRPr="0019744B">
              <w:rPr>
                <w:rStyle w:val="Hyperlink"/>
                <w:noProof/>
              </w:rPr>
              <w:t>Strategy impacts on Action Area 6: Leveraging our external influence</w:t>
            </w:r>
            <w:r w:rsidR="00D60F35">
              <w:rPr>
                <w:noProof/>
                <w:webHidden/>
              </w:rPr>
              <w:tab/>
            </w:r>
            <w:r w:rsidR="00D60F35">
              <w:rPr>
                <w:noProof/>
                <w:webHidden/>
              </w:rPr>
              <w:fldChar w:fldCharType="begin"/>
            </w:r>
            <w:r w:rsidR="00D60F35">
              <w:rPr>
                <w:noProof/>
                <w:webHidden/>
              </w:rPr>
              <w:instrText xml:space="preserve"> PAGEREF _Toc181715748 \h </w:instrText>
            </w:r>
            <w:r w:rsidR="00D60F35">
              <w:rPr>
                <w:noProof/>
                <w:webHidden/>
              </w:rPr>
            </w:r>
            <w:r w:rsidR="00D60F35">
              <w:rPr>
                <w:noProof/>
                <w:webHidden/>
              </w:rPr>
              <w:fldChar w:fldCharType="separate"/>
            </w:r>
            <w:r w:rsidR="00D60F35">
              <w:rPr>
                <w:noProof/>
                <w:webHidden/>
              </w:rPr>
              <w:t>54</w:t>
            </w:r>
            <w:r w:rsidR="00D60F35">
              <w:rPr>
                <w:noProof/>
                <w:webHidden/>
              </w:rPr>
              <w:fldChar w:fldCharType="end"/>
            </w:r>
          </w:hyperlink>
        </w:p>
        <w:p w14:paraId="5BA67EBA" w14:textId="58C7D841" w:rsidR="00D60F35" w:rsidRDefault="00260D55">
          <w:pPr>
            <w:pStyle w:val="TOC2"/>
            <w:rPr>
              <w:rFonts w:eastAsiaTheme="minorEastAsia"/>
              <w:noProof/>
              <w:color w:val="auto"/>
              <w:sz w:val="22"/>
              <w:lang w:eastAsia="en-AU"/>
            </w:rPr>
          </w:pPr>
          <w:hyperlink w:anchor="_Toc181715749" w:history="1">
            <w:r w:rsidR="00D60F35" w:rsidRPr="0019744B">
              <w:rPr>
                <w:rStyle w:val="Hyperlink"/>
                <w:noProof/>
              </w:rPr>
              <w:t>Agencies demonstrating leadership on gender equality externally</w:t>
            </w:r>
            <w:r w:rsidR="00D60F35">
              <w:rPr>
                <w:noProof/>
                <w:webHidden/>
              </w:rPr>
              <w:tab/>
            </w:r>
            <w:r w:rsidR="00D60F35">
              <w:rPr>
                <w:noProof/>
                <w:webHidden/>
              </w:rPr>
              <w:fldChar w:fldCharType="begin"/>
            </w:r>
            <w:r w:rsidR="00D60F35">
              <w:rPr>
                <w:noProof/>
                <w:webHidden/>
              </w:rPr>
              <w:instrText xml:space="preserve"> PAGEREF _Toc181715749 \h </w:instrText>
            </w:r>
            <w:r w:rsidR="00D60F35">
              <w:rPr>
                <w:noProof/>
                <w:webHidden/>
              </w:rPr>
            </w:r>
            <w:r w:rsidR="00D60F35">
              <w:rPr>
                <w:noProof/>
                <w:webHidden/>
              </w:rPr>
              <w:fldChar w:fldCharType="separate"/>
            </w:r>
            <w:r w:rsidR="00D60F35">
              <w:rPr>
                <w:noProof/>
                <w:webHidden/>
              </w:rPr>
              <w:t>54</w:t>
            </w:r>
            <w:r w:rsidR="00D60F35">
              <w:rPr>
                <w:noProof/>
                <w:webHidden/>
              </w:rPr>
              <w:fldChar w:fldCharType="end"/>
            </w:r>
          </w:hyperlink>
        </w:p>
        <w:p w14:paraId="1D589896" w14:textId="142BAA16" w:rsidR="00D60F35" w:rsidRDefault="00260D55">
          <w:pPr>
            <w:pStyle w:val="TOC2"/>
            <w:rPr>
              <w:rFonts w:eastAsiaTheme="minorEastAsia"/>
              <w:noProof/>
              <w:color w:val="auto"/>
              <w:sz w:val="22"/>
              <w:lang w:eastAsia="en-AU"/>
            </w:rPr>
          </w:pPr>
          <w:hyperlink w:anchor="_Toc181715750" w:history="1">
            <w:r w:rsidR="00D60F35" w:rsidRPr="0019744B">
              <w:rPr>
                <w:rStyle w:val="Hyperlink"/>
                <w:noProof/>
              </w:rPr>
              <w:t>Promoting gender equality through suppliers</w:t>
            </w:r>
            <w:r w:rsidR="00D60F35">
              <w:rPr>
                <w:noProof/>
                <w:webHidden/>
              </w:rPr>
              <w:tab/>
            </w:r>
            <w:r w:rsidR="00D60F35">
              <w:rPr>
                <w:noProof/>
                <w:webHidden/>
              </w:rPr>
              <w:fldChar w:fldCharType="begin"/>
            </w:r>
            <w:r w:rsidR="00D60F35">
              <w:rPr>
                <w:noProof/>
                <w:webHidden/>
              </w:rPr>
              <w:instrText xml:space="preserve"> PAGEREF _Toc181715750 \h </w:instrText>
            </w:r>
            <w:r w:rsidR="00D60F35">
              <w:rPr>
                <w:noProof/>
                <w:webHidden/>
              </w:rPr>
            </w:r>
            <w:r w:rsidR="00D60F35">
              <w:rPr>
                <w:noProof/>
                <w:webHidden/>
              </w:rPr>
              <w:fldChar w:fldCharType="separate"/>
            </w:r>
            <w:r w:rsidR="00D60F35">
              <w:rPr>
                <w:noProof/>
                <w:webHidden/>
              </w:rPr>
              <w:t>56</w:t>
            </w:r>
            <w:r w:rsidR="00D60F35">
              <w:rPr>
                <w:noProof/>
                <w:webHidden/>
              </w:rPr>
              <w:fldChar w:fldCharType="end"/>
            </w:r>
          </w:hyperlink>
        </w:p>
        <w:p w14:paraId="6AE2855C" w14:textId="3B7149D8" w:rsidR="00D60F35" w:rsidRDefault="00260D55">
          <w:pPr>
            <w:pStyle w:val="TOC2"/>
            <w:rPr>
              <w:rFonts w:eastAsiaTheme="minorEastAsia"/>
              <w:noProof/>
              <w:color w:val="auto"/>
              <w:sz w:val="22"/>
              <w:lang w:eastAsia="en-AU"/>
            </w:rPr>
          </w:pPr>
          <w:hyperlink w:anchor="_Toc181715751" w:history="1">
            <w:r w:rsidR="00D60F35" w:rsidRPr="0019744B">
              <w:rPr>
                <w:rStyle w:val="Hyperlink"/>
                <w:noProof/>
              </w:rPr>
              <w:t>Gender impact assessments in budget proposals</w:t>
            </w:r>
            <w:r w:rsidR="00D60F35">
              <w:rPr>
                <w:noProof/>
                <w:webHidden/>
              </w:rPr>
              <w:tab/>
            </w:r>
            <w:r w:rsidR="00D60F35">
              <w:rPr>
                <w:noProof/>
                <w:webHidden/>
              </w:rPr>
              <w:fldChar w:fldCharType="begin"/>
            </w:r>
            <w:r w:rsidR="00D60F35">
              <w:rPr>
                <w:noProof/>
                <w:webHidden/>
              </w:rPr>
              <w:instrText xml:space="preserve"> PAGEREF _Toc181715751 \h </w:instrText>
            </w:r>
            <w:r w:rsidR="00D60F35">
              <w:rPr>
                <w:noProof/>
                <w:webHidden/>
              </w:rPr>
            </w:r>
            <w:r w:rsidR="00D60F35">
              <w:rPr>
                <w:noProof/>
                <w:webHidden/>
              </w:rPr>
              <w:fldChar w:fldCharType="separate"/>
            </w:r>
            <w:r w:rsidR="00D60F35">
              <w:rPr>
                <w:noProof/>
                <w:webHidden/>
              </w:rPr>
              <w:t>56</w:t>
            </w:r>
            <w:r w:rsidR="00D60F35">
              <w:rPr>
                <w:noProof/>
                <w:webHidden/>
              </w:rPr>
              <w:fldChar w:fldCharType="end"/>
            </w:r>
          </w:hyperlink>
        </w:p>
        <w:p w14:paraId="0F231695" w14:textId="6E0EDCCB" w:rsidR="00D60F35" w:rsidRDefault="00260D55">
          <w:pPr>
            <w:pStyle w:val="TOC1"/>
            <w:rPr>
              <w:rFonts w:eastAsiaTheme="minorEastAsia"/>
              <w:b w:val="0"/>
              <w:noProof/>
              <w:color w:val="auto"/>
              <w:sz w:val="22"/>
              <w:lang w:eastAsia="en-AU"/>
            </w:rPr>
          </w:pPr>
          <w:hyperlink w:anchor="_Toc181715752" w:history="1">
            <w:r w:rsidR="00D60F35" w:rsidRPr="0019744B">
              <w:rPr>
                <w:rStyle w:val="Hyperlink"/>
                <w:noProof/>
              </w:rPr>
              <w:t>Appendix: APS Gender Equality Strategy Survey questions</w:t>
            </w:r>
            <w:r w:rsidR="00D60F35">
              <w:rPr>
                <w:noProof/>
                <w:webHidden/>
              </w:rPr>
              <w:tab/>
            </w:r>
            <w:r w:rsidR="00D60F35">
              <w:rPr>
                <w:noProof/>
                <w:webHidden/>
              </w:rPr>
              <w:fldChar w:fldCharType="begin"/>
            </w:r>
            <w:r w:rsidR="00D60F35">
              <w:rPr>
                <w:noProof/>
                <w:webHidden/>
              </w:rPr>
              <w:instrText xml:space="preserve"> PAGEREF _Toc181715752 \h </w:instrText>
            </w:r>
            <w:r w:rsidR="00D60F35">
              <w:rPr>
                <w:noProof/>
                <w:webHidden/>
              </w:rPr>
            </w:r>
            <w:r w:rsidR="00D60F35">
              <w:rPr>
                <w:noProof/>
                <w:webHidden/>
              </w:rPr>
              <w:fldChar w:fldCharType="separate"/>
            </w:r>
            <w:r w:rsidR="00D60F35">
              <w:rPr>
                <w:noProof/>
                <w:webHidden/>
              </w:rPr>
              <w:t>57</w:t>
            </w:r>
            <w:r w:rsidR="00D60F35">
              <w:rPr>
                <w:noProof/>
                <w:webHidden/>
              </w:rPr>
              <w:fldChar w:fldCharType="end"/>
            </w:r>
          </w:hyperlink>
        </w:p>
        <w:p w14:paraId="039F688E" w14:textId="3B95F1A2" w:rsidR="00725274" w:rsidRDefault="00A73D4D" w:rsidP="00725274">
          <w:pPr>
            <w:pStyle w:val="TOCHeading"/>
            <w:rPr>
              <w:rFonts w:eastAsiaTheme="minorEastAsia"/>
              <w:szCs w:val="20"/>
            </w:rPr>
          </w:pPr>
          <w:r>
            <w:lastRenderedPageBreak/>
            <w:fldChar w:fldCharType="end"/>
          </w:r>
          <w:r w:rsidR="00725274" w:rsidRPr="00725274">
            <w:rPr>
              <w:sz w:val="2"/>
            </w:rPr>
            <w:t xml:space="preserve"> </w:t>
          </w:r>
          <w:proofErr w:type="gramStart"/>
          <w:r w:rsidR="00725274" w:rsidRPr="00725274">
            <w:rPr>
              <w:sz w:val="2"/>
            </w:rPr>
            <w:t>f</w:t>
          </w:r>
          <w:proofErr w:type="gramEnd"/>
        </w:p>
      </w:sdtContent>
    </w:sdt>
    <w:p w14:paraId="24EF98D8" w14:textId="1A0D19B1" w:rsidR="00E3292D" w:rsidRPr="004971C5" w:rsidRDefault="00A9409E">
      <w:pPr>
        <w:pStyle w:val="TableofFigures"/>
        <w:tabs>
          <w:tab w:val="right" w:leader="dot" w:pos="9060"/>
        </w:tabs>
        <w:rPr>
          <w:rFonts w:asciiTheme="majorHAnsi" w:eastAsiaTheme="majorEastAsia" w:hAnsiTheme="majorHAnsi" w:cstheme="majorBidi"/>
          <w:color w:val="0D0D0D" w:themeColor="text1" w:themeTint="F2"/>
          <w:sz w:val="40"/>
          <w:szCs w:val="32"/>
          <w:lang w:val="en-US"/>
        </w:rPr>
      </w:pPr>
      <w:r>
        <w:rPr>
          <w:rFonts w:asciiTheme="majorHAnsi" w:eastAsiaTheme="majorEastAsia" w:hAnsiTheme="majorHAnsi" w:cstheme="majorBidi"/>
          <w:color w:val="0D0D0D" w:themeColor="text1" w:themeTint="F2"/>
          <w:sz w:val="40"/>
          <w:szCs w:val="32"/>
          <w:lang w:val="en-US"/>
        </w:rPr>
        <w:t xml:space="preserve">Table of </w:t>
      </w:r>
      <w:r w:rsidR="006714A5">
        <w:rPr>
          <w:rFonts w:asciiTheme="majorHAnsi" w:eastAsiaTheme="majorEastAsia" w:hAnsiTheme="majorHAnsi" w:cstheme="majorBidi"/>
          <w:color w:val="0D0D0D" w:themeColor="text1" w:themeTint="F2"/>
          <w:sz w:val="40"/>
          <w:szCs w:val="32"/>
          <w:lang w:val="en-US"/>
        </w:rPr>
        <w:t>F</w:t>
      </w:r>
      <w:r w:rsidR="004971C5" w:rsidRPr="004971C5">
        <w:rPr>
          <w:rFonts w:asciiTheme="majorHAnsi" w:eastAsiaTheme="majorEastAsia" w:hAnsiTheme="majorHAnsi" w:cstheme="majorBidi"/>
          <w:color w:val="0D0D0D" w:themeColor="text1" w:themeTint="F2"/>
          <w:sz w:val="40"/>
          <w:szCs w:val="32"/>
          <w:lang w:val="en-US"/>
        </w:rPr>
        <w:t xml:space="preserve">igures </w:t>
      </w:r>
    </w:p>
    <w:p w14:paraId="1DA8B3C4" w14:textId="19549F12" w:rsidR="00122045" w:rsidRDefault="00E3292D">
      <w:pPr>
        <w:pStyle w:val="TableofFigures"/>
        <w:tabs>
          <w:tab w:val="right" w:leader="dot" w:pos="9060"/>
        </w:tabs>
        <w:rPr>
          <w:rFonts w:eastAsiaTheme="minorEastAsia"/>
          <w:noProof/>
          <w:color w:val="auto"/>
          <w:sz w:val="22"/>
          <w:lang w:eastAsia="en-AU"/>
        </w:rPr>
      </w:pPr>
      <w:r>
        <w:fldChar w:fldCharType="begin"/>
      </w:r>
      <w:r>
        <w:instrText xml:space="preserve"> TOC \h \z \c "Figure" </w:instrText>
      </w:r>
      <w:r>
        <w:fldChar w:fldCharType="separate"/>
      </w:r>
      <w:hyperlink w:anchor="_Toc173857123" w:history="1">
        <w:r w:rsidR="00122045" w:rsidRPr="00460134">
          <w:rPr>
            <w:rStyle w:val="Hyperlink"/>
            <w:noProof/>
          </w:rPr>
          <w:t>Figure 1 The APS Gender Equality Strategy’s greatest impacts</w:t>
        </w:r>
        <w:r w:rsidR="00122045">
          <w:rPr>
            <w:noProof/>
            <w:webHidden/>
          </w:rPr>
          <w:tab/>
        </w:r>
        <w:r w:rsidR="00122045">
          <w:rPr>
            <w:noProof/>
            <w:webHidden/>
          </w:rPr>
          <w:fldChar w:fldCharType="begin"/>
        </w:r>
        <w:r w:rsidR="00122045">
          <w:rPr>
            <w:noProof/>
            <w:webHidden/>
          </w:rPr>
          <w:instrText xml:space="preserve"> PAGEREF _Toc173857123 \h </w:instrText>
        </w:r>
        <w:r w:rsidR="00122045">
          <w:rPr>
            <w:noProof/>
            <w:webHidden/>
          </w:rPr>
        </w:r>
        <w:r w:rsidR="00122045">
          <w:rPr>
            <w:noProof/>
            <w:webHidden/>
          </w:rPr>
          <w:fldChar w:fldCharType="separate"/>
        </w:r>
        <w:r w:rsidR="00122045">
          <w:rPr>
            <w:noProof/>
            <w:webHidden/>
          </w:rPr>
          <w:t>11</w:t>
        </w:r>
        <w:r w:rsidR="00122045">
          <w:rPr>
            <w:noProof/>
            <w:webHidden/>
          </w:rPr>
          <w:fldChar w:fldCharType="end"/>
        </w:r>
      </w:hyperlink>
    </w:p>
    <w:p w14:paraId="6C052B23" w14:textId="7444FD6C" w:rsidR="00122045" w:rsidRDefault="00260D55">
      <w:pPr>
        <w:pStyle w:val="TableofFigures"/>
        <w:tabs>
          <w:tab w:val="right" w:leader="dot" w:pos="9060"/>
        </w:tabs>
        <w:rPr>
          <w:rFonts w:eastAsiaTheme="minorEastAsia"/>
          <w:noProof/>
          <w:color w:val="auto"/>
          <w:sz w:val="22"/>
          <w:lang w:eastAsia="en-AU"/>
        </w:rPr>
      </w:pPr>
      <w:hyperlink w:anchor="_Toc173857124" w:history="1">
        <w:r w:rsidR="00122045" w:rsidRPr="00460134">
          <w:rPr>
            <w:rStyle w:val="Hyperlink"/>
            <w:noProof/>
          </w:rPr>
          <w:t>Figure 2 Agency self-rating of implementation of the APS Gender Equality Strategy</w:t>
        </w:r>
        <w:r w:rsidR="00122045">
          <w:rPr>
            <w:noProof/>
            <w:webHidden/>
          </w:rPr>
          <w:tab/>
        </w:r>
        <w:r w:rsidR="00122045">
          <w:rPr>
            <w:noProof/>
            <w:webHidden/>
          </w:rPr>
          <w:fldChar w:fldCharType="begin"/>
        </w:r>
        <w:r w:rsidR="00122045">
          <w:rPr>
            <w:noProof/>
            <w:webHidden/>
          </w:rPr>
          <w:instrText xml:space="preserve"> PAGEREF _Toc173857124 \h </w:instrText>
        </w:r>
        <w:r w:rsidR="00122045">
          <w:rPr>
            <w:noProof/>
            <w:webHidden/>
          </w:rPr>
        </w:r>
        <w:r w:rsidR="00122045">
          <w:rPr>
            <w:noProof/>
            <w:webHidden/>
          </w:rPr>
          <w:fldChar w:fldCharType="separate"/>
        </w:r>
        <w:r w:rsidR="00122045">
          <w:rPr>
            <w:noProof/>
            <w:webHidden/>
          </w:rPr>
          <w:t>15</w:t>
        </w:r>
        <w:r w:rsidR="00122045">
          <w:rPr>
            <w:noProof/>
            <w:webHidden/>
          </w:rPr>
          <w:fldChar w:fldCharType="end"/>
        </w:r>
      </w:hyperlink>
    </w:p>
    <w:p w14:paraId="1D54BBC1" w14:textId="21D2E518" w:rsidR="00122045" w:rsidRDefault="00260D55">
      <w:pPr>
        <w:pStyle w:val="TableofFigures"/>
        <w:tabs>
          <w:tab w:val="right" w:leader="dot" w:pos="9060"/>
        </w:tabs>
        <w:rPr>
          <w:rFonts w:eastAsiaTheme="minorEastAsia"/>
          <w:noProof/>
          <w:color w:val="auto"/>
          <w:sz w:val="22"/>
          <w:lang w:eastAsia="en-AU"/>
        </w:rPr>
      </w:pPr>
      <w:hyperlink w:anchor="_Toc173857125" w:history="1">
        <w:r w:rsidR="00122045" w:rsidRPr="00460134">
          <w:rPr>
            <w:rStyle w:val="Hyperlink"/>
            <w:noProof/>
          </w:rPr>
          <w:t>Figure 3 Self-reported number of Strategy deliverables agencies were likely to meet</w:t>
        </w:r>
        <w:r w:rsidR="00122045">
          <w:rPr>
            <w:noProof/>
            <w:webHidden/>
          </w:rPr>
          <w:tab/>
        </w:r>
        <w:r w:rsidR="00122045">
          <w:rPr>
            <w:noProof/>
            <w:webHidden/>
          </w:rPr>
          <w:fldChar w:fldCharType="begin"/>
        </w:r>
        <w:r w:rsidR="00122045">
          <w:rPr>
            <w:noProof/>
            <w:webHidden/>
          </w:rPr>
          <w:instrText xml:space="preserve"> PAGEREF _Toc173857125 \h </w:instrText>
        </w:r>
        <w:r w:rsidR="00122045">
          <w:rPr>
            <w:noProof/>
            <w:webHidden/>
          </w:rPr>
        </w:r>
        <w:r w:rsidR="00122045">
          <w:rPr>
            <w:noProof/>
            <w:webHidden/>
          </w:rPr>
          <w:fldChar w:fldCharType="separate"/>
        </w:r>
        <w:r w:rsidR="00122045">
          <w:rPr>
            <w:noProof/>
            <w:webHidden/>
          </w:rPr>
          <w:t>16</w:t>
        </w:r>
        <w:r w:rsidR="00122045">
          <w:rPr>
            <w:noProof/>
            <w:webHidden/>
          </w:rPr>
          <w:fldChar w:fldCharType="end"/>
        </w:r>
      </w:hyperlink>
    </w:p>
    <w:p w14:paraId="56B38D17" w14:textId="6BED0A38" w:rsidR="00122045" w:rsidRDefault="00260D55">
      <w:pPr>
        <w:pStyle w:val="TableofFigures"/>
        <w:tabs>
          <w:tab w:val="right" w:leader="dot" w:pos="9060"/>
        </w:tabs>
        <w:rPr>
          <w:rFonts w:eastAsiaTheme="minorEastAsia"/>
          <w:noProof/>
          <w:color w:val="auto"/>
          <w:sz w:val="22"/>
          <w:lang w:eastAsia="en-AU"/>
        </w:rPr>
      </w:pPr>
      <w:hyperlink w:anchor="_Toc173857126" w:history="1">
        <w:r w:rsidR="00122045" w:rsidRPr="00460134">
          <w:rPr>
            <w:rStyle w:val="Hyperlink"/>
            <w:noProof/>
          </w:rPr>
          <w:t>Figure 4 Perceived harassment and bullying</w:t>
        </w:r>
        <w:r w:rsidR="00122045">
          <w:rPr>
            <w:noProof/>
            <w:webHidden/>
          </w:rPr>
          <w:tab/>
        </w:r>
        <w:r w:rsidR="00122045">
          <w:rPr>
            <w:noProof/>
            <w:webHidden/>
          </w:rPr>
          <w:fldChar w:fldCharType="begin"/>
        </w:r>
        <w:r w:rsidR="00122045">
          <w:rPr>
            <w:noProof/>
            <w:webHidden/>
          </w:rPr>
          <w:instrText xml:space="preserve"> PAGEREF _Toc173857126 \h </w:instrText>
        </w:r>
        <w:r w:rsidR="00122045">
          <w:rPr>
            <w:noProof/>
            <w:webHidden/>
          </w:rPr>
        </w:r>
        <w:r w:rsidR="00122045">
          <w:rPr>
            <w:noProof/>
            <w:webHidden/>
          </w:rPr>
          <w:fldChar w:fldCharType="separate"/>
        </w:r>
        <w:r w:rsidR="00122045">
          <w:rPr>
            <w:noProof/>
            <w:webHidden/>
          </w:rPr>
          <w:t>22</w:t>
        </w:r>
        <w:r w:rsidR="00122045">
          <w:rPr>
            <w:noProof/>
            <w:webHidden/>
          </w:rPr>
          <w:fldChar w:fldCharType="end"/>
        </w:r>
      </w:hyperlink>
    </w:p>
    <w:p w14:paraId="41388B1D" w14:textId="44B4436C" w:rsidR="00122045" w:rsidRDefault="00260D55">
      <w:pPr>
        <w:pStyle w:val="TableofFigures"/>
        <w:tabs>
          <w:tab w:val="right" w:leader="dot" w:pos="9060"/>
        </w:tabs>
        <w:rPr>
          <w:rFonts w:eastAsiaTheme="minorEastAsia"/>
          <w:noProof/>
          <w:color w:val="auto"/>
          <w:sz w:val="22"/>
          <w:lang w:eastAsia="en-AU"/>
        </w:rPr>
      </w:pPr>
      <w:hyperlink w:anchor="_Toc173857127" w:history="1">
        <w:r w:rsidR="00122045" w:rsidRPr="00460134">
          <w:rPr>
            <w:rStyle w:val="Hyperlink"/>
            <w:noProof/>
          </w:rPr>
          <w:t>Figure 5 Types of harassment and bullying experienced</w:t>
        </w:r>
        <w:r w:rsidR="00122045">
          <w:rPr>
            <w:noProof/>
            <w:webHidden/>
          </w:rPr>
          <w:tab/>
        </w:r>
        <w:r w:rsidR="00122045">
          <w:rPr>
            <w:noProof/>
            <w:webHidden/>
          </w:rPr>
          <w:fldChar w:fldCharType="begin"/>
        </w:r>
        <w:r w:rsidR="00122045">
          <w:rPr>
            <w:noProof/>
            <w:webHidden/>
          </w:rPr>
          <w:instrText xml:space="preserve"> PAGEREF _Toc173857127 \h </w:instrText>
        </w:r>
        <w:r w:rsidR="00122045">
          <w:rPr>
            <w:noProof/>
            <w:webHidden/>
          </w:rPr>
        </w:r>
        <w:r w:rsidR="00122045">
          <w:rPr>
            <w:noProof/>
            <w:webHidden/>
          </w:rPr>
          <w:fldChar w:fldCharType="separate"/>
        </w:r>
        <w:r w:rsidR="00122045">
          <w:rPr>
            <w:noProof/>
            <w:webHidden/>
          </w:rPr>
          <w:t>23</w:t>
        </w:r>
        <w:r w:rsidR="00122045">
          <w:rPr>
            <w:noProof/>
            <w:webHidden/>
          </w:rPr>
          <w:fldChar w:fldCharType="end"/>
        </w:r>
      </w:hyperlink>
    </w:p>
    <w:p w14:paraId="313DB69F" w14:textId="06759712" w:rsidR="00122045" w:rsidRDefault="00260D55">
      <w:pPr>
        <w:pStyle w:val="TableofFigures"/>
        <w:tabs>
          <w:tab w:val="right" w:leader="dot" w:pos="9060"/>
        </w:tabs>
        <w:rPr>
          <w:rFonts w:eastAsiaTheme="minorEastAsia"/>
          <w:noProof/>
          <w:color w:val="auto"/>
          <w:sz w:val="22"/>
          <w:lang w:eastAsia="en-AU"/>
        </w:rPr>
      </w:pPr>
      <w:hyperlink w:anchor="_Toc173857128" w:history="1">
        <w:r w:rsidR="00122045" w:rsidRPr="00460134">
          <w:rPr>
            <w:rStyle w:val="Hyperlink"/>
            <w:noProof/>
          </w:rPr>
          <w:t>Figure 6 Basis of experienced discrimination</w:t>
        </w:r>
        <w:r w:rsidR="00122045">
          <w:rPr>
            <w:noProof/>
            <w:webHidden/>
          </w:rPr>
          <w:tab/>
        </w:r>
        <w:r w:rsidR="00122045">
          <w:rPr>
            <w:noProof/>
            <w:webHidden/>
          </w:rPr>
          <w:fldChar w:fldCharType="begin"/>
        </w:r>
        <w:r w:rsidR="00122045">
          <w:rPr>
            <w:noProof/>
            <w:webHidden/>
          </w:rPr>
          <w:instrText xml:space="preserve"> PAGEREF _Toc173857128 \h </w:instrText>
        </w:r>
        <w:r w:rsidR="00122045">
          <w:rPr>
            <w:noProof/>
            <w:webHidden/>
          </w:rPr>
        </w:r>
        <w:r w:rsidR="00122045">
          <w:rPr>
            <w:noProof/>
            <w:webHidden/>
          </w:rPr>
          <w:fldChar w:fldCharType="separate"/>
        </w:r>
        <w:r w:rsidR="00122045">
          <w:rPr>
            <w:noProof/>
            <w:webHidden/>
          </w:rPr>
          <w:t>24</w:t>
        </w:r>
        <w:r w:rsidR="00122045">
          <w:rPr>
            <w:noProof/>
            <w:webHidden/>
          </w:rPr>
          <w:fldChar w:fldCharType="end"/>
        </w:r>
      </w:hyperlink>
    </w:p>
    <w:p w14:paraId="2793B87F" w14:textId="0E363C88" w:rsidR="00122045" w:rsidRDefault="00260D55">
      <w:pPr>
        <w:pStyle w:val="TableofFigures"/>
        <w:tabs>
          <w:tab w:val="right" w:leader="dot" w:pos="9060"/>
        </w:tabs>
        <w:rPr>
          <w:rFonts w:eastAsiaTheme="minorEastAsia"/>
          <w:noProof/>
          <w:color w:val="auto"/>
          <w:sz w:val="22"/>
          <w:lang w:eastAsia="en-AU"/>
        </w:rPr>
      </w:pPr>
      <w:hyperlink w:anchor="_Toc173857129" w:history="1">
        <w:r w:rsidR="00122045" w:rsidRPr="00460134">
          <w:rPr>
            <w:rStyle w:val="Hyperlink"/>
            <w:noProof/>
          </w:rPr>
          <w:t>Figure 7 Reasons for not reporting harassment and bullying</w:t>
        </w:r>
        <w:r w:rsidR="00122045">
          <w:rPr>
            <w:noProof/>
            <w:webHidden/>
          </w:rPr>
          <w:tab/>
        </w:r>
        <w:r w:rsidR="00122045">
          <w:rPr>
            <w:noProof/>
            <w:webHidden/>
          </w:rPr>
          <w:fldChar w:fldCharType="begin"/>
        </w:r>
        <w:r w:rsidR="00122045">
          <w:rPr>
            <w:noProof/>
            <w:webHidden/>
          </w:rPr>
          <w:instrText xml:space="preserve"> PAGEREF _Toc173857129 \h </w:instrText>
        </w:r>
        <w:r w:rsidR="00122045">
          <w:rPr>
            <w:noProof/>
            <w:webHidden/>
          </w:rPr>
        </w:r>
        <w:r w:rsidR="00122045">
          <w:rPr>
            <w:noProof/>
            <w:webHidden/>
          </w:rPr>
          <w:fldChar w:fldCharType="separate"/>
        </w:r>
        <w:r w:rsidR="00122045">
          <w:rPr>
            <w:noProof/>
            <w:webHidden/>
          </w:rPr>
          <w:t>25</w:t>
        </w:r>
        <w:r w:rsidR="00122045">
          <w:rPr>
            <w:noProof/>
            <w:webHidden/>
          </w:rPr>
          <w:fldChar w:fldCharType="end"/>
        </w:r>
      </w:hyperlink>
    </w:p>
    <w:p w14:paraId="6919A598" w14:textId="18E20DDF" w:rsidR="00122045" w:rsidRDefault="00260D55">
      <w:pPr>
        <w:pStyle w:val="TableofFigures"/>
        <w:tabs>
          <w:tab w:val="right" w:leader="dot" w:pos="9060"/>
        </w:tabs>
        <w:rPr>
          <w:rFonts w:eastAsiaTheme="minorEastAsia"/>
          <w:noProof/>
          <w:color w:val="auto"/>
          <w:sz w:val="22"/>
          <w:lang w:eastAsia="en-AU"/>
        </w:rPr>
      </w:pPr>
      <w:hyperlink w:anchor="_Toc173857130" w:history="1">
        <w:r w:rsidR="00122045" w:rsidRPr="00460134">
          <w:rPr>
            <w:rStyle w:val="Hyperlink"/>
            <w:noProof/>
          </w:rPr>
          <w:t>Figure 8 Agencies that had a policy, strategy, action plan or other in place</w:t>
        </w:r>
        <w:r w:rsidR="00122045">
          <w:rPr>
            <w:noProof/>
            <w:webHidden/>
          </w:rPr>
          <w:tab/>
        </w:r>
        <w:r w:rsidR="00122045">
          <w:rPr>
            <w:noProof/>
            <w:webHidden/>
          </w:rPr>
          <w:fldChar w:fldCharType="begin"/>
        </w:r>
        <w:r w:rsidR="00122045">
          <w:rPr>
            <w:noProof/>
            <w:webHidden/>
          </w:rPr>
          <w:instrText xml:space="preserve"> PAGEREF _Toc173857130 \h </w:instrText>
        </w:r>
        <w:r w:rsidR="00122045">
          <w:rPr>
            <w:noProof/>
            <w:webHidden/>
          </w:rPr>
        </w:r>
        <w:r w:rsidR="00122045">
          <w:rPr>
            <w:noProof/>
            <w:webHidden/>
          </w:rPr>
          <w:fldChar w:fldCharType="separate"/>
        </w:r>
        <w:r w:rsidR="00122045">
          <w:rPr>
            <w:noProof/>
            <w:webHidden/>
          </w:rPr>
          <w:t>25</w:t>
        </w:r>
        <w:r w:rsidR="00122045">
          <w:rPr>
            <w:noProof/>
            <w:webHidden/>
          </w:rPr>
          <w:fldChar w:fldCharType="end"/>
        </w:r>
      </w:hyperlink>
    </w:p>
    <w:p w14:paraId="17F2A0AC" w14:textId="6801CC91" w:rsidR="00122045" w:rsidRDefault="00260D55">
      <w:pPr>
        <w:pStyle w:val="TableofFigures"/>
        <w:tabs>
          <w:tab w:val="right" w:leader="dot" w:pos="9060"/>
        </w:tabs>
        <w:rPr>
          <w:rFonts w:eastAsiaTheme="minorEastAsia"/>
          <w:noProof/>
          <w:color w:val="auto"/>
          <w:sz w:val="22"/>
          <w:lang w:eastAsia="en-AU"/>
        </w:rPr>
      </w:pPr>
      <w:hyperlink w:anchor="_Toc173857131" w:history="1">
        <w:r w:rsidR="00122045" w:rsidRPr="00460134">
          <w:rPr>
            <w:rStyle w:val="Hyperlink"/>
            <w:noProof/>
          </w:rPr>
          <w:t>Figure 9 Initiatives implemented to strengthen prevention of and/or respond to gender-based unacceptable behaviours</w:t>
        </w:r>
        <w:r w:rsidR="00122045">
          <w:rPr>
            <w:noProof/>
            <w:webHidden/>
          </w:rPr>
          <w:tab/>
        </w:r>
        <w:r w:rsidR="00122045">
          <w:rPr>
            <w:noProof/>
            <w:webHidden/>
          </w:rPr>
          <w:fldChar w:fldCharType="begin"/>
        </w:r>
        <w:r w:rsidR="00122045">
          <w:rPr>
            <w:noProof/>
            <w:webHidden/>
          </w:rPr>
          <w:instrText xml:space="preserve"> PAGEREF _Toc173857131 \h </w:instrText>
        </w:r>
        <w:r w:rsidR="00122045">
          <w:rPr>
            <w:noProof/>
            <w:webHidden/>
          </w:rPr>
        </w:r>
        <w:r w:rsidR="00122045">
          <w:rPr>
            <w:noProof/>
            <w:webHidden/>
          </w:rPr>
          <w:fldChar w:fldCharType="separate"/>
        </w:r>
        <w:r w:rsidR="00122045">
          <w:rPr>
            <w:noProof/>
            <w:webHidden/>
          </w:rPr>
          <w:t>27</w:t>
        </w:r>
        <w:r w:rsidR="00122045">
          <w:rPr>
            <w:noProof/>
            <w:webHidden/>
          </w:rPr>
          <w:fldChar w:fldCharType="end"/>
        </w:r>
      </w:hyperlink>
    </w:p>
    <w:p w14:paraId="520AA1E7" w14:textId="34FD009B" w:rsidR="00122045" w:rsidRDefault="00260D55">
      <w:pPr>
        <w:pStyle w:val="TableofFigures"/>
        <w:tabs>
          <w:tab w:val="right" w:leader="dot" w:pos="9060"/>
        </w:tabs>
        <w:rPr>
          <w:rFonts w:eastAsiaTheme="minorEastAsia"/>
          <w:noProof/>
          <w:color w:val="auto"/>
          <w:sz w:val="22"/>
          <w:lang w:eastAsia="en-AU"/>
        </w:rPr>
      </w:pPr>
      <w:hyperlink w:anchor="_Toc173857132" w:history="1">
        <w:r w:rsidR="00122045" w:rsidRPr="00460134">
          <w:rPr>
            <w:rStyle w:val="Hyperlink"/>
            <w:noProof/>
          </w:rPr>
          <w:t>Figure 10 Gender composition of APS job families</w:t>
        </w:r>
        <w:r w:rsidR="00122045">
          <w:rPr>
            <w:noProof/>
            <w:webHidden/>
          </w:rPr>
          <w:tab/>
        </w:r>
        <w:r w:rsidR="00122045">
          <w:rPr>
            <w:noProof/>
            <w:webHidden/>
          </w:rPr>
          <w:fldChar w:fldCharType="begin"/>
        </w:r>
        <w:r w:rsidR="00122045">
          <w:rPr>
            <w:noProof/>
            <w:webHidden/>
          </w:rPr>
          <w:instrText xml:space="preserve"> PAGEREF _Toc173857132 \h </w:instrText>
        </w:r>
        <w:r w:rsidR="00122045">
          <w:rPr>
            <w:noProof/>
            <w:webHidden/>
          </w:rPr>
        </w:r>
        <w:r w:rsidR="00122045">
          <w:rPr>
            <w:noProof/>
            <w:webHidden/>
          </w:rPr>
          <w:fldChar w:fldCharType="separate"/>
        </w:r>
        <w:r w:rsidR="00122045">
          <w:rPr>
            <w:noProof/>
            <w:webHidden/>
          </w:rPr>
          <w:t>32</w:t>
        </w:r>
        <w:r w:rsidR="00122045">
          <w:rPr>
            <w:noProof/>
            <w:webHidden/>
          </w:rPr>
          <w:fldChar w:fldCharType="end"/>
        </w:r>
      </w:hyperlink>
    </w:p>
    <w:p w14:paraId="7CF1F654" w14:textId="03BFD1A8" w:rsidR="00122045" w:rsidRDefault="00260D55">
      <w:pPr>
        <w:pStyle w:val="TableofFigures"/>
        <w:tabs>
          <w:tab w:val="right" w:leader="dot" w:pos="9060"/>
        </w:tabs>
        <w:rPr>
          <w:rFonts w:eastAsiaTheme="minorEastAsia"/>
          <w:noProof/>
          <w:color w:val="auto"/>
          <w:sz w:val="22"/>
          <w:lang w:eastAsia="en-AU"/>
        </w:rPr>
      </w:pPr>
      <w:hyperlink w:anchor="_Toc173857133" w:history="1">
        <w:r w:rsidR="00122045" w:rsidRPr="00460134">
          <w:rPr>
            <w:rStyle w:val="Hyperlink"/>
            <w:noProof/>
          </w:rPr>
          <w:t>Figure 11 Ways agencies created opportunities to strengthen gender representation in occupation</w:t>
        </w:r>
        <w:r w:rsidR="00122045" w:rsidRPr="00460134">
          <w:rPr>
            <w:rStyle w:val="Hyperlink"/>
            <w:i/>
            <w:noProof/>
          </w:rPr>
          <w:t>s</w:t>
        </w:r>
        <w:r w:rsidR="00122045">
          <w:rPr>
            <w:noProof/>
            <w:webHidden/>
          </w:rPr>
          <w:tab/>
        </w:r>
        <w:r w:rsidR="00122045">
          <w:rPr>
            <w:noProof/>
            <w:webHidden/>
          </w:rPr>
          <w:fldChar w:fldCharType="begin"/>
        </w:r>
        <w:r w:rsidR="00122045">
          <w:rPr>
            <w:noProof/>
            <w:webHidden/>
          </w:rPr>
          <w:instrText xml:space="preserve"> PAGEREF _Toc173857133 \h </w:instrText>
        </w:r>
        <w:r w:rsidR="00122045">
          <w:rPr>
            <w:noProof/>
            <w:webHidden/>
          </w:rPr>
        </w:r>
        <w:r w:rsidR="00122045">
          <w:rPr>
            <w:noProof/>
            <w:webHidden/>
          </w:rPr>
          <w:fldChar w:fldCharType="separate"/>
        </w:r>
        <w:r w:rsidR="00122045">
          <w:rPr>
            <w:noProof/>
            <w:webHidden/>
          </w:rPr>
          <w:t>33</w:t>
        </w:r>
        <w:r w:rsidR="00122045">
          <w:rPr>
            <w:noProof/>
            <w:webHidden/>
          </w:rPr>
          <w:fldChar w:fldCharType="end"/>
        </w:r>
      </w:hyperlink>
    </w:p>
    <w:p w14:paraId="6983E56E" w14:textId="042A5023" w:rsidR="00122045" w:rsidRDefault="00260D55">
      <w:pPr>
        <w:pStyle w:val="TableofFigures"/>
        <w:tabs>
          <w:tab w:val="right" w:leader="dot" w:pos="9060"/>
        </w:tabs>
        <w:rPr>
          <w:rFonts w:eastAsiaTheme="minorEastAsia"/>
          <w:noProof/>
          <w:color w:val="auto"/>
          <w:sz w:val="22"/>
          <w:lang w:eastAsia="en-AU"/>
        </w:rPr>
      </w:pPr>
      <w:hyperlink w:anchor="_Toc173857134" w:history="1">
        <w:r w:rsidR="00122045" w:rsidRPr="00460134">
          <w:rPr>
            <w:rStyle w:val="Hyperlink"/>
            <w:noProof/>
          </w:rPr>
          <w:t>Figure 12 Most prominent opportunities implemented to strengthen gender representation in select occupations</w:t>
        </w:r>
        <w:r w:rsidR="00122045">
          <w:rPr>
            <w:noProof/>
            <w:webHidden/>
          </w:rPr>
          <w:tab/>
        </w:r>
        <w:r w:rsidR="00122045">
          <w:rPr>
            <w:noProof/>
            <w:webHidden/>
          </w:rPr>
          <w:fldChar w:fldCharType="begin"/>
        </w:r>
        <w:r w:rsidR="00122045">
          <w:rPr>
            <w:noProof/>
            <w:webHidden/>
          </w:rPr>
          <w:instrText xml:space="preserve"> PAGEREF _Toc173857134 \h </w:instrText>
        </w:r>
        <w:r w:rsidR="00122045">
          <w:rPr>
            <w:noProof/>
            <w:webHidden/>
          </w:rPr>
        </w:r>
        <w:r w:rsidR="00122045">
          <w:rPr>
            <w:noProof/>
            <w:webHidden/>
          </w:rPr>
          <w:fldChar w:fldCharType="separate"/>
        </w:r>
        <w:r w:rsidR="00122045">
          <w:rPr>
            <w:noProof/>
            <w:webHidden/>
          </w:rPr>
          <w:t>34</w:t>
        </w:r>
        <w:r w:rsidR="00122045">
          <w:rPr>
            <w:noProof/>
            <w:webHidden/>
          </w:rPr>
          <w:fldChar w:fldCharType="end"/>
        </w:r>
      </w:hyperlink>
    </w:p>
    <w:p w14:paraId="0405A2FA" w14:textId="4358E7C9" w:rsidR="00122045" w:rsidRDefault="00260D55">
      <w:pPr>
        <w:pStyle w:val="TableofFigures"/>
        <w:tabs>
          <w:tab w:val="right" w:leader="dot" w:pos="9060"/>
        </w:tabs>
        <w:rPr>
          <w:rFonts w:eastAsiaTheme="minorEastAsia"/>
          <w:noProof/>
          <w:color w:val="auto"/>
          <w:sz w:val="22"/>
          <w:lang w:eastAsia="en-AU"/>
        </w:rPr>
      </w:pPr>
      <w:hyperlink w:anchor="_Toc173857135" w:history="1">
        <w:r w:rsidR="00122045" w:rsidRPr="00460134">
          <w:rPr>
            <w:rStyle w:val="Hyperlink"/>
            <w:noProof/>
          </w:rPr>
          <w:t>Figure 13 Ways agencies ensured gender balance on selection panels</w:t>
        </w:r>
        <w:r w:rsidR="00122045">
          <w:rPr>
            <w:noProof/>
            <w:webHidden/>
          </w:rPr>
          <w:tab/>
        </w:r>
        <w:r w:rsidR="00122045">
          <w:rPr>
            <w:noProof/>
            <w:webHidden/>
          </w:rPr>
          <w:fldChar w:fldCharType="begin"/>
        </w:r>
        <w:r w:rsidR="00122045">
          <w:rPr>
            <w:noProof/>
            <w:webHidden/>
          </w:rPr>
          <w:instrText xml:space="preserve"> PAGEREF _Toc173857135 \h </w:instrText>
        </w:r>
        <w:r w:rsidR="00122045">
          <w:rPr>
            <w:noProof/>
            <w:webHidden/>
          </w:rPr>
        </w:r>
        <w:r w:rsidR="00122045">
          <w:rPr>
            <w:noProof/>
            <w:webHidden/>
          </w:rPr>
          <w:fldChar w:fldCharType="separate"/>
        </w:r>
        <w:r w:rsidR="00122045">
          <w:rPr>
            <w:noProof/>
            <w:webHidden/>
          </w:rPr>
          <w:t>35</w:t>
        </w:r>
        <w:r w:rsidR="00122045">
          <w:rPr>
            <w:noProof/>
            <w:webHidden/>
          </w:rPr>
          <w:fldChar w:fldCharType="end"/>
        </w:r>
      </w:hyperlink>
    </w:p>
    <w:p w14:paraId="674A0784" w14:textId="7BBFF637" w:rsidR="00122045" w:rsidRDefault="00260D55">
      <w:pPr>
        <w:pStyle w:val="TableofFigures"/>
        <w:tabs>
          <w:tab w:val="right" w:leader="dot" w:pos="9060"/>
        </w:tabs>
        <w:rPr>
          <w:rFonts w:eastAsiaTheme="minorEastAsia"/>
          <w:noProof/>
          <w:color w:val="auto"/>
          <w:sz w:val="22"/>
          <w:lang w:eastAsia="en-AU"/>
        </w:rPr>
      </w:pPr>
      <w:hyperlink w:anchor="_Toc173857136" w:history="1">
        <w:r w:rsidR="00122045" w:rsidRPr="00460134">
          <w:rPr>
            <w:rStyle w:val="Hyperlink"/>
            <w:noProof/>
          </w:rPr>
          <w:t>Figure 14 Ways that selection panels are equipped to call-out potential bias during selection processes</w:t>
        </w:r>
        <w:r w:rsidR="00122045">
          <w:rPr>
            <w:noProof/>
            <w:webHidden/>
          </w:rPr>
          <w:tab/>
        </w:r>
        <w:r w:rsidR="00122045">
          <w:rPr>
            <w:noProof/>
            <w:webHidden/>
          </w:rPr>
          <w:fldChar w:fldCharType="begin"/>
        </w:r>
        <w:r w:rsidR="00122045">
          <w:rPr>
            <w:noProof/>
            <w:webHidden/>
          </w:rPr>
          <w:instrText xml:space="preserve"> PAGEREF _Toc173857136 \h </w:instrText>
        </w:r>
        <w:r w:rsidR="00122045">
          <w:rPr>
            <w:noProof/>
            <w:webHidden/>
          </w:rPr>
        </w:r>
        <w:r w:rsidR="00122045">
          <w:rPr>
            <w:noProof/>
            <w:webHidden/>
          </w:rPr>
          <w:fldChar w:fldCharType="separate"/>
        </w:r>
        <w:r w:rsidR="00122045">
          <w:rPr>
            <w:noProof/>
            <w:webHidden/>
          </w:rPr>
          <w:t>36</w:t>
        </w:r>
        <w:r w:rsidR="00122045">
          <w:rPr>
            <w:noProof/>
            <w:webHidden/>
          </w:rPr>
          <w:fldChar w:fldCharType="end"/>
        </w:r>
      </w:hyperlink>
    </w:p>
    <w:p w14:paraId="1E0F43B9" w14:textId="218493E0" w:rsidR="00122045" w:rsidRDefault="00260D55">
      <w:pPr>
        <w:pStyle w:val="TableofFigures"/>
        <w:tabs>
          <w:tab w:val="right" w:leader="dot" w:pos="9060"/>
        </w:tabs>
        <w:rPr>
          <w:rFonts w:eastAsiaTheme="minorEastAsia"/>
          <w:noProof/>
          <w:color w:val="auto"/>
          <w:sz w:val="22"/>
          <w:lang w:eastAsia="en-AU"/>
        </w:rPr>
      </w:pPr>
      <w:hyperlink w:anchor="_Toc173857137" w:history="1">
        <w:r w:rsidR="00122045" w:rsidRPr="00460134">
          <w:rPr>
            <w:rStyle w:val="Hyperlink"/>
            <w:noProof/>
          </w:rPr>
          <w:t>Figure 15 Types of flexible working utilised 2019-2023</w:t>
        </w:r>
        <w:r w:rsidR="00122045">
          <w:rPr>
            <w:noProof/>
            <w:webHidden/>
          </w:rPr>
          <w:tab/>
        </w:r>
        <w:r w:rsidR="00122045">
          <w:rPr>
            <w:noProof/>
            <w:webHidden/>
          </w:rPr>
          <w:fldChar w:fldCharType="begin"/>
        </w:r>
        <w:r w:rsidR="00122045">
          <w:rPr>
            <w:noProof/>
            <w:webHidden/>
          </w:rPr>
          <w:instrText xml:space="preserve"> PAGEREF _Toc173857137 \h </w:instrText>
        </w:r>
        <w:r w:rsidR="00122045">
          <w:rPr>
            <w:noProof/>
            <w:webHidden/>
          </w:rPr>
        </w:r>
        <w:r w:rsidR="00122045">
          <w:rPr>
            <w:noProof/>
            <w:webHidden/>
          </w:rPr>
          <w:fldChar w:fldCharType="separate"/>
        </w:r>
        <w:r w:rsidR="00122045">
          <w:rPr>
            <w:noProof/>
            <w:webHidden/>
          </w:rPr>
          <w:t>40</w:t>
        </w:r>
        <w:r w:rsidR="00122045">
          <w:rPr>
            <w:noProof/>
            <w:webHidden/>
          </w:rPr>
          <w:fldChar w:fldCharType="end"/>
        </w:r>
      </w:hyperlink>
    </w:p>
    <w:p w14:paraId="4AA5D1D8" w14:textId="075DF9EB" w:rsidR="00122045" w:rsidRDefault="00260D55">
      <w:pPr>
        <w:pStyle w:val="TableofFigures"/>
        <w:tabs>
          <w:tab w:val="right" w:leader="dot" w:pos="9060"/>
        </w:tabs>
        <w:rPr>
          <w:rFonts w:eastAsiaTheme="minorEastAsia"/>
          <w:noProof/>
          <w:color w:val="auto"/>
          <w:sz w:val="22"/>
          <w:lang w:eastAsia="en-AU"/>
        </w:rPr>
      </w:pPr>
      <w:hyperlink w:anchor="_Toc173857138" w:history="1">
        <w:r w:rsidR="00122045" w:rsidRPr="00460134">
          <w:rPr>
            <w:rStyle w:val="Hyperlink"/>
            <w:noProof/>
          </w:rPr>
          <w:t>Figure 16 Use of flexible working arrangements by classification level</w:t>
        </w:r>
        <w:r w:rsidR="00122045">
          <w:rPr>
            <w:noProof/>
            <w:webHidden/>
          </w:rPr>
          <w:tab/>
        </w:r>
        <w:r w:rsidR="00122045">
          <w:rPr>
            <w:noProof/>
            <w:webHidden/>
          </w:rPr>
          <w:fldChar w:fldCharType="begin"/>
        </w:r>
        <w:r w:rsidR="00122045">
          <w:rPr>
            <w:noProof/>
            <w:webHidden/>
          </w:rPr>
          <w:instrText xml:space="preserve"> PAGEREF _Toc173857138 \h </w:instrText>
        </w:r>
        <w:r w:rsidR="00122045">
          <w:rPr>
            <w:noProof/>
            <w:webHidden/>
          </w:rPr>
        </w:r>
        <w:r w:rsidR="00122045">
          <w:rPr>
            <w:noProof/>
            <w:webHidden/>
          </w:rPr>
          <w:fldChar w:fldCharType="separate"/>
        </w:r>
        <w:r w:rsidR="00122045">
          <w:rPr>
            <w:noProof/>
            <w:webHidden/>
          </w:rPr>
          <w:t>41</w:t>
        </w:r>
        <w:r w:rsidR="00122045">
          <w:rPr>
            <w:noProof/>
            <w:webHidden/>
          </w:rPr>
          <w:fldChar w:fldCharType="end"/>
        </w:r>
      </w:hyperlink>
    </w:p>
    <w:p w14:paraId="567029CD" w14:textId="01E36437" w:rsidR="00122045" w:rsidRDefault="00260D55">
      <w:pPr>
        <w:pStyle w:val="TableofFigures"/>
        <w:tabs>
          <w:tab w:val="right" w:leader="dot" w:pos="9060"/>
        </w:tabs>
        <w:rPr>
          <w:rFonts w:eastAsiaTheme="minorEastAsia"/>
          <w:noProof/>
          <w:color w:val="auto"/>
          <w:sz w:val="22"/>
          <w:lang w:eastAsia="en-AU"/>
        </w:rPr>
      </w:pPr>
      <w:hyperlink w:anchor="_Toc173857139" w:history="1">
        <w:r w:rsidR="00122045" w:rsidRPr="00460134">
          <w:rPr>
            <w:rStyle w:val="Hyperlink"/>
            <w:noProof/>
          </w:rPr>
          <w:t>Figure 17 Use of flexible working arrangements by types of carers</w:t>
        </w:r>
        <w:r w:rsidR="00122045">
          <w:rPr>
            <w:noProof/>
            <w:webHidden/>
          </w:rPr>
          <w:tab/>
        </w:r>
        <w:r w:rsidR="00122045">
          <w:rPr>
            <w:noProof/>
            <w:webHidden/>
          </w:rPr>
          <w:fldChar w:fldCharType="begin"/>
        </w:r>
        <w:r w:rsidR="00122045">
          <w:rPr>
            <w:noProof/>
            <w:webHidden/>
          </w:rPr>
          <w:instrText xml:space="preserve"> PAGEREF _Toc173857139 \h </w:instrText>
        </w:r>
        <w:r w:rsidR="00122045">
          <w:rPr>
            <w:noProof/>
            <w:webHidden/>
          </w:rPr>
        </w:r>
        <w:r w:rsidR="00122045">
          <w:rPr>
            <w:noProof/>
            <w:webHidden/>
          </w:rPr>
          <w:fldChar w:fldCharType="separate"/>
        </w:r>
        <w:r w:rsidR="00122045">
          <w:rPr>
            <w:noProof/>
            <w:webHidden/>
          </w:rPr>
          <w:t>42</w:t>
        </w:r>
        <w:r w:rsidR="00122045">
          <w:rPr>
            <w:noProof/>
            <w:webHidden/>
          </w:rPr>
          <w:fldChar w:fldCharType="end"/>
        </w:r>
      </w:hyperlink>
    </w:p>
    <w:p w14:paraId="2800919D" w14:textId="7340E037" w:rsidR="00122045" w:rsidRDefault="00260D55">
      <w:pPr>
        <w:pStyle w:val="TableofFigures"/>
        <w:tabs>
          <w:tab w:val="right" w:leader="dot" w:pos="9060"/>
        </w:tabs>
        <w:rPr>
          <w:rFonts w:eastAsiaTheme="minorEastAsia"/>
          <w:noProof/>
          <w:color w:val="auto"/>
          <w:sz w:val="22"/>
          <w:lang w:eastAsia="en-AU"/>
        </w:rPr>
      </w:pPr>
      <w:hyperlink w:anchor="_Toc173857140" w:history="1">
        <w:r w:rsidR="00122045" w:rsidRPr="00460134">
          <w:rPr>
            <w:rStyle w:val="Hyperlink"/>
            <w:noProof/>
          </w:rPr>
          <w:t>Figure 18 Per cent of employees working part-time by gender</w:t>
        </w:r>
        <w:r w:rsidR="00122045">
          <w:rPr>
            <w:noProof/>
            <w:webHidden/>
          </w:rPr>
          <w:tab/>
        </w:r>
        <w:r w:rsidR="00122045">
          <w:rPr>
            <w:noProof/>
            <w:webHidden/>
          </w:rPr>
          <w:fldChar w:fldCharType="begin"/>
        </w:r>
        <w:r w:rsidR="00122045">
          <w:rPr>
            <w:noProof/>
            <w:webHidden/>
          </w:rPr>
          <w:instrText xml:space="preserve"> PAGEREF _Toc173857140 \h </w:instrText>
        </w:r>
        <w:r w:rsidR="00122045">
          <w:rPr>
            <w:noProof/>
            <w:webHidden/>
          </w:rPr>
        </w:r>
        <w:r w:rsidR="00122045">
          <w:rPr>
            <w:noProof/>
            <w:webHidden/>
          </w:rPr>
          <w:fldChar w:fldCharType="separate"/>
        </w:r>
        <w:r w:rsidR="00122045">
          <w:rPr>
            <w:noProof/>
            <w:webHidden/>
          </w:rPr>
          <w:t>43</w:t>
        </w:r>
        <w:r w:rsidR="00122045">
          <w:rPr>
            <w:noProof/>
            <w:webHidden/>
          </w:rPr>
          <w:fldChar w:fldCharType="end"/>
        </w:r>
      </w:hyperlink>
    </w:p>
    <w:p w14:paraId="38DEFC57" w14:textId="26B8B344" w:rsidR="00122045" w:rsidRDefault="00260D55">
      <w:pPr>
        <w:pStyle w:val="TableofFigures"/>
        <w:tabs>
          <w:tab w:val="right" w:leader="dot" w:pos="9060"/>
        </w:tabs>
        <w:rPr>
          <w:rFonts w:eastAsiaTheme="minorEastAsia"/>
          <w:noProof/>
          <w:color w:val="auto"/>
          <w:sz w:val="22"/>
          <w:lang w:eastAsia="en-AU"/>
        </w:rPr>
      </w:pPr>
      <w:hyperlink w:anchor="_Toc173857141" w:history="1">
        <w:r w:rsidR="00122045" w:rsidRPr="00460134">
          <w:rPr>
            <w:rStyle w:val="Hyperlink"/>
            <w:noProof/>
          </w:rPr>
          <w:t>Figure 19 Uptake of part-time work for different carers by gender</w:t>
        </w:r>
        <w:r w:rsidR="00122045">
          <w:rPr>
            <w:noProof/>
            <w:webHidden/>
          </w:rPr>
          <w:tab/>
        </w:r>
        <w:r w:rsidR="00122045">
          <w:rPr>
            <w:noProof/>
            <w:webHidden/>
          </w:rPr>
          <w:fldChar w:fldCharType="begin"/>
        </w:r>
        <w:r w:rsidR="00122045">
          <w:rPr>
            <w:noProof/>
            <w:webHidden/>
          </w:rPr>
          <w:instrText xml:space="preserve"> PAGEREF _Toc173857141 \h </w:instrText>
        </w:r>
        <w:r w:rsidR="00122045">
          <w:rPr>
            <w:noProof/>
            <w:webHidden/>
          </w:rPr>
        </w:r>
        <w:r w:rsidR="00122045">
          <w:rPr>
            <w:noProof/>
            <w:webHidden/>
          </w:rPr>
          <w:fldChar w:fldCharType="separate"/>
        </w:r>
        <w:r w:rsidR="00122045">
          <w:rPr>
            <w:noProof/>
            <w:webHidden/>
          </w:rPr>
          <w:t>44</w:t>
        </w:r>
        <w:r w:rsidR="00122045">
          <w:rPr>
            <w:noProof/>
            <w:webHidden/>
          </w:rPr>
          <w:fldChar w:fldCharType="end"/>
        </w:r>
      </w:hyperlink>
    </w:p>
    <w:p w14:paraId="5D837A4F" w14:textId="1E49BD8E" w:rsidR="00122045" w:rsidRDefault="00260D55">
      <w:pPr>
        <w:pStyle w:val="TableofFigures"/>
        <w:tabs>
          <w:tab w:val="right" w:leader="dot" w:pos="9060"/>
        </w:tabs>
        <w:rPr>
          <w:rFonts w:eastAsiaTheme="minorEastAsia"/>
          <w:noProof/>
          <w:color w:val="auto"/>
          <w:sz w:val="22"/>
          <w:lang w:eastAsia="en-AU"/>
        </w:rPr>
      </w:pPr>
      <w:hyperlink w:anchor="_Toc173857142" w:history="1">
        <w:r w:rsidR="00122045" w:rsidRPr="00460134">
          <w:rPr>
            <w:rStyle w:val="Hyperlink"/>
            <w:noProof/>
          </w:rPr>
          <w:t xml:space="preserve">Figure 20 </w:t>
        </w:r>
        <w:r w:rsidR="00122045" w:rsidRPr="00460134">
          <w:rPr>
            <w:rStyle w:val="Hyperlink"/>
            <w:noProof/>
            <w:shd w:val="clear" w:color="auto" w:fill="FFFFFF"/>
          </w:rPr>
          <w:t>Share of agencies that advertised positions as full-time, part-time, or job share</w:t>
        </w:r>
        <w:r w:rsidR="00122045">
          <w:rPr>
            <w:noProof/>
            <w:webHidden/>
          </w:rPr>
          <w:tab/>
        </w:r>
        <w:r w:rsidR="00122045">
          <w:rPr>
            <w:noProof/>
            <w:webHidden/>
          </w:rPr>
          <w:fldChar w:fldCharType="begin"/>
        </w:r>
        <w:r w:rsidR="00122045">
          <w:rPr>
            <w:noProof/>
            <w:webHidden/>
          </w:rPr>
          <w:instrText xml:space="preserve"> PAGEREF _Toc173857142 \h </w:instrText>
        </w:r>
        <w:r w:rsidR="00122045">
          <w:rPr>
            <w:noProof/>
            <w:webHidden/>
          </w:rPr>
        </w:r>
        <w:r w:rsidR="00122045">
          <w:rPr>
            <w:noProof/>
            <w:webHidden/>
          </w:rPr>
          <w:fldChar w:fldCharType="separate"/>
        </w:r>
        <w:r w:rsidR="00122045">
          <w:rPr>
            <w:noProof/>
            <w:webHidden/>
          </w:rPr>
          <w:t>46</w:t>
        </w:r>
        <w:r w:rsidR="00122045">
          <w:rPr>
            <w:noProof/>
            <w:webHidden/>
          </w:rPr>
          <w:fldChar w:fldCharType="end"/>
        </w:r>
      </w:hyperlink>
    </w:p>
    <w:p w14:paraId="17F80756" w14:textId="4B93AD40" w:rsidR="00122045" w:rsidRDefault="00260D55">
      <w:pPr>
        <w:pStyle w:val="TableofFigures"/>
        <w:tabs>
          <w:tab w:val="right" w:leader="dot" w:pos="9060"/>
        </w:tabs>
        <w:rPr>
          <w:rFonts w:eastAsiaTheme="minorEastAsia"/>
          <w:noProof/>
          <w:color w:val="auto"/>
          <w:sz w:val="22"/>
          <w:lang w:eastAsia="en-AU"/>
        </w:rPr>
      </w:pPr>
      <w:hyperlink w:anchor="_Toc173857143" w:history="1">
        <w:r w:rsidR="00122045" w:rsidRPr="00460134">
          <w:rPr>
            <w:rStyle w:val="Hyperlink"/>
            <w:noProof/>
          </w:rPr>
          <w:t>Figure 21 APS Gender pay gap over time</w:t>
        </w:r>
        <w:r w:rsidR="00122045">
          <w:rPr>
            <w:noProof/>
            <w:webHidden/>
          </w:rPr>
          <w:tab/>
        </w:r>
        <w:r w:rsidR="00122045">
          <w:rPr>
            <w:noProof/>
            <w:webHidden/>
          </w:rPr>
          <w:fldChar w:fldCharType="begin"/>
        </w:r>
        <w:r w:rsidR="00122045">
          <w:rPr>
            <w:noProof/>
            <w:webHidden/>
          </w:rPr>
          <w:instrText xml:space="preserve"> PAGEREF _Toc173857143 \h </w:instrText>
        </w:r>
        <w:r w:rsidR="00122045">
          <w:rPr>
            <w:noProof/>
            <w:webHidden/>
          </w:rPr>
        </w:r>
        <w:r w:rsidR="00122045">
          <w:rPr>
            <w:noProof/>
            <w:webHidden/>
          </w:rPr>
          <w:fldChar w:fldCharType="separate"/>
        </w:r>
        <w:r w:rsidR="00122045">
          <w:rPr>
            <w:noProof/>
            <w:webHidden/>
          </w:rPr>
          <w:t>49</w:t>
        </w:r>
        <w:r w:rsidR="00122045">
          <w:rPr>
            <w:noProof/>
            <w:webHidden/>
          </w:rPr>
          <w:fldChar w:fldCharType="end"/>
        </w:r>
      </w:hyperlink>
    </w:p>
    <w:p w14:paraId="213E3188" w14:textId="5B85DD02" w:rsidR="00122045" w:rsidRDefault="00260D55">
      <w:pPr>
        <w:pStyle w:val="TableofFigures"/>
        <w:tabs>
          <w:tab w:val="right" w:leader="dot" w:pos="9060"/>
        </w:tabs>
        <w:rPr>
          <w:rFonts w:eastAsiaTheme="minorEastAsia"/>
          <w:noProof/>
          <w:color w:val="auto"/>
          <w:sz w:val="22"/>
          <w:lang w:eastAsia="en-AU"/>
        </w:rPr>
      </w:pPr>
      <w:hyperlink w:anchor="_Toc173857144" w:history="1">
        <w:r w:rsidR="00122045" w:rsidRPr="00460134">
          <w:rPr>
            <w:rStyle w:val="Hyperlink"/>
            <w:noProof/>
          </w:rPr>
          <w:t>Figure 22 Collected and published gender data by diversity groups</w:t>
        </w:r>
        <w:r w:rsidR="00122045">
          <w:rPr>
            <w:noProof/>
            <w:webHidden/>
          </w:rPr>
          <w:tab/>
        </w:r>
        <w:r w:rsidR="00122045">
          <w:rPr>
            <w:noProof/>
            <w:webHidden/>
          </w:rPr>
          <w:fldChar w:fldCharType="begin"/>
        </w:r>
        <w:r w:rsidR="00122045">
          <w:rPr>
            <w:noProof/>
            <w:webHidden/>
          </w:rPr>
          <w:instrText xml:space="preserve"> PAGEREF _Toc173857144 \h </w:instrText>
        </w:r>
        <w:r w:rsidR="00122045">
          <w:rPr>
            <w:noProof/>
            <w:webHidden/>
          </w:rPr>
        </w:r>
        <w:r w:rsidR="00122045">
          <w:rPr>
            <w:noProof/>
            <w:webHidden/>
          </w:rPr>
          <w:fldChar w:fldCharType="separate"/>
        </w:r>
        <w:r w:rsidR="00122045">
          <w:rPr>
            <w:noProof/>
            <w:webHidden/>
          </w:rPr>
          <w:t>51</w:t>
        </w:r>
        <w:r w:rsidR="00122045">
          <w:rPr>
            <w:noProof/>
            <w:webHidden/>
          </w:rPr>
          <w:fldChar w:fldCharType="end"/>
        </w:r>
      </w:hyperlink>
    </w:p>
    <w:p w14:paraId="69FEE63A" w14:textId="24FA6662" w:rsidR="00122045" w:rsidRDefault="00260D55">
      <w:pPr>
        <w:pStyle w:val="TableofFigures"/>
        <w:tabs>
          <w:tab w:val="right" w:leader="dot" w:pos="9060"/>
        </w:tabs>
        <w:rPr>
          <w:rFonts w:eastAsiaTheme="minorEastAsia"/>
          <w:noProof/>
          <w:color w:val="auto"/>
          <w:sz w:val="22"/>
          <w:lang w:eastAsia="en-AU"/>
        </w:rPr>
      </w:pPr>
      <w:hyperlink w:anchor="_Toc173857145" w:history="1">
        <w:r w:rsidR="00122045" w:rsidRPr="00460134">
          <w:rPr>
            <w:rStyle w:val="Hyperlink"/>
            <w:noProof/>
          </w:rPr>
          <w:t>Figure 23 Proportion of men and women at each APS classification level 2023</w:t>
        </w:r>
        <w:r w:rsidR="00122045">
          <w:rPr>
            <w:noProof/>
            <w:webHidden/>
          </w:rPr>
          <w:tab/>
        </w:r>
        <w:r w:rsidR="00122045">
          <w:rPr>
            <w:noProof/>
            <w:webHidden/>
          </w:rPr>
          <w:fldChar w:fldCharType="begin"/>
        </w:r>
        <w:r w:rsidR="00122045">
          <w:rPr>
            <w:noProof/>
            <w:webHidden/>
          </w:rPr>
          <w:instrText xml:space="preserve"> PAGEREF _Toc173857145 \h </w:instrText>
        </w:r>
        <w:r w:rsidR="00122045">
          <w:rPr>
            <w:noProof/>
            <w:webHidden/>
          </w:rPr>
        </w:r>
        <w:r w:rsidR="00122045">
          <w:rPr>
            <w:noProof/>
            <w:webHidden/>
          </w:rPr>
          <w:fldChar w:fldCharType="separate"/>
        </w:r>
        <w:r w:rsidR="00122045">
          <w:rPr>
            <w:noProof/>
            <w:webHidden/>
          </w:rPr>
          <w:t>52</w:t>
        </w:r>
        <w:r w:rsidR="00122045">
          <w:rPr>
            <w:noProof/>
            <w:webHidden/>
          </w:rPr>
          <w:fldChar w:fldCharType="end"/>
        </w:r>
      </w:hyperlink>
    </w:p>
    <w:p w14:paraId="72D32545" w14:textId="01A5A434" w:rsidR="00122045" w:rsidRDefault="00260D55">
      <w:pPr>
        <w:pStyle w:val="TableofFigures"/>
        <w:tabs>
          <w:tab w:val="right" w:leader="dot" w:pos="9060"/>
        </w:tabs>
        <w:rPr>
          <w:rFonts w:eastAsiaTheme="minorEastAsia"/>
          <w:noProof/>
          <w:color w:val="auto"/>
          <w:sz w:val="22"/>
          <w:lang w:eastAsia="en-AU"/>
        </w:rPr>
      </w:pPr>
      <w:hyperlink w:anchor="_Toc173857146" w:history="1">
        <w:r w:rsidR="00122045" w:rsidRPr="00460134">
          <w:rPr>
            <w:rStyle w:val="Hyperlink"/>
            <w:iCs/>
            <w:noProof/>
          </w:rPr>
          <w:t xml:space="preserve">Figure 24 </w:t>
        </w:r>
        <w:r w:rsidR="00122045" w:rsidRPr="00460134">
          <w:rPr>
            <w:rStyle w:val="Hyperlink"/>
            <w:noProof/>
          </w:rPr>
          <w:t>Ways agencies had demonstrated leadership on gender equality beyond the workplace</w:t>
        </w:r>
        <w:r w:rsidR="00122045">
          <w:rPr>
            <w:noProof/>
            <w:webHidden/>
          </w:rPr>
          <w:tab/>
        </w:r>
        <w:r w:rsidR="00122045">
          <w:rPr>
            <w:noProof/>
            <w:webHidden/>
          </w:rPr>
          <w:fldChar w:fldCharType="begin"/>
        </w:r>
        <w:r w:rsidR="00122045">
          <w:rPr>
            <w:noProof/>
            <w:webHidden/>
          </w:rPr>
          <w:instrText xml:space="preserve"> PAGEREF _Toc173857146 \h </w:instrText>
        </w:r>
        <w:r w:rsidR="00122045">
          <w:rPr>
            <w:noProof/>
            <w:webHidden/>
          </w:rPr>
        </w:r>
        <w:r w:rsidR="00122045">
          <w:rPr>
            <w:noProof/>
            <w:webHidden/>
          </w:rPr>
          <w:fldChar w:fldCharType="separate"/>
        </w:r>
        <w:r w:rsidR="00122045">
          <w:rPr>
            <w:noProof/>
            <w:webHidden/>
          </w:rPr>
          <w:t>55</w:t>
        </w:r>
        <w:r w:rsidR="00122045">
          <w:rPr>
            <w:noProof/>
            <w:webHidden/>
          </w:rPr>
          <w:fldChar w:fldCharType="end"/>
        </w:r>
      </w:hyperlink>
    </w:p>
    <w:p w14:paraId="3BCFD9B3" w14:textId="10BC2A1F" w:rsidR="00042FE9" w:rsidRDefault="00E3292D" w:rsidP="00986346">
      <w:r>
        <w:fldChar w:fldCharType="end"/>
      </w:r>
    </w:p>
    <w:p w14:paraId="7DF9DB54" w14:textId="77777777" w:rsidR="00D444F1" w:rsidRDefault="00D444F1">
      <w:pPr>
        <w:spacing w:line="360" w:lineRule="auto"/>
        <w:rPr>
          <w:rFonts w:asciiTheme="majorHAnsi" w:eastAsiaTheme="majorEastAsia" w:hAnsiTheme="majorHAnsi" w:cstheme="majorBidi"/>
          <w:color w:val="0D0D0D" w:themeColor="text1" w:themeTint="F2"/>
          <w:sz w:val="40"/>
          <w:szCs w:val="32"/>
          <w:lang w:val="en-US"/>
        </w:rPr>
      </w:pPr>
      <w:r>
        <w:rPr>
          <w:rFonts w:asciiTheme="majorHAnsi" w:eastAsiaTheme="majorEastAsia" w:hAnsiTheme="majorHAnsi" w:cstheme="majorBidi"/>
          <w:color w:val="0D0D0D" w:themeColor="text1" w:themeTint="F2"/>
          <w:sz w:val="40"/>
          <w:szCs w:val="32"/>
          <w:lang w:val="en-US"/>
        </w:rPr>
        <w:br w:type="page"/>
      </w:r>
    </w:p>
    <w:p w14:paraId="09A32980" w14:textId="510A601A" w:rsidR="00B2120E" w:rsidRDefault="00642C3D" w:rsidP="00CF6364">
      <w:pPr>
        <w:spacing w:after="240"/>
        <w:rPr>
          <w:rFonts w:asciiTheme="majorHAnsi" w:eastAsiaTheme="majorEastAsia" w:hAnsiTheme="majorHAnsi" w:cstheme="majorBidi"/>
          <w:color w:val="0D0D0D" w:themeColor="text1" w:themeTint="F2"/>
          <w:sz w:val="40"/>
          <w:szCs w:val="32"/>
          <w:lang w:val="en-US"/>
        </w:rPr>
      </w:pPr>
      <w:r>
        <w:rPr>
          <w:rFonts w:asciiTheme="majorHAnsi" w:eastAsiaTheme="majorEastAsia" w:hAnsiTheme="majorHAnsi" w:cstheme="majorBidi"/>
          <w:color w:val="0D0D0D" w:themeColor="text1" w:themeTint="F2"/>
          <w:sz w:val="40"/>
          <w:szCs w:val="32"/>
          <w:lang w:val="en-US"/>
        </w:rPr>
        <w:lastRenderedPageBreak/>
        <w:t>Table</w:t>
      </w:r>
      <w:r w:rsidR="00D1744D">
        <w:rPr>
          <w:rFonts w:asciiTheme="majorHAnsi" w:eastAsiaTheme="majorEastAsia" w:hAnsiTheme="majorHAnsi" w:cstheme="majorBidi"/>
          <w:color w:val="0D0D0D" w:themeColor="text1" w:themeTint="F2"/>
          <w:sz w:val="40"/>
          <w:szCs w:val="32"/>
          <w:lang w:val="en-US"/>
        </w:rPr>
        <w:t xml:space="preserve"> of </w:t>
      </w:r>
      <w:r w:rsidR="006714A5">
        <w:rPr>
          <w:rFonts w:asciiTheme="majorHAnsi" w:eastAsiaTheme="majorEastAsia" w:hAnsiTheme="majorHAnsi" w:cstheme="majorBidi"/>
          <w:color w:val="0D0D0D" w:themeColor="text1" w:themeTint="F2"/>
          <w:sz w:val="40"/>
          <w:szCs w:val="32"/>
          <w:lang w:val="en-US"/>
        </w:rPr>
        <w:t>A</w:t>
      </w:r>
      <w:r w:rsidR="00CF6364">
        <w:rPr>
          <w:rFonts w:asciiTheme="majorHAnsi" w:eastAsiaTheme="majorEastAsia" w:hAnsiTheme="majorHAnsi" w:cstheme="majorBidi"/>
          <w:color w:val="0D0D0D" w:themeColor="text1" w:themeTint="F2"/>
          <w:sz w:val="40"/>
          <w:szCs w:val="32"/>
          <w:lang w:val="en-US"/>
        </w:rPr>
        <w:t>cronyms</w:t>
      </w:r>
    </w:p>
    <w:tbl>
      <w:tblPr>
        <w:tblStyle w:val="TableGrid"/>
        <w:tblW w:w="9067" w:type="dxa"/>
        <w:tblLook w:val="04A0" w:firstRow="1" w:lastRow="0" w:firstColumn="1" w:lastColumn="0" w:noHBand="0" w:noVBand="1"/>
        <w:tblCaption w:val="Acronym Definition Table"/>
        <w:tblDescription w:val="Description of the Acronyms used in the publication"/>
      </w:tblPr>
      <w:tblGrid>
        <w:gridCol w:w="1555"/>
        <w:gridCol w:w="7512"/>
      </w:tblGrid>
      <w:tr w:rsidR="007051EC" w:rsidRPr="009A4425" w14:paraId="2A46D5DC" w14:textId="77777777" w:rsidTr="00AD566C">
        <w:trPr>
          <w:trHeight w:val="263"/>
          <w:tblHeader/>
        </w:trPr>
        <w:tc>
          <w:tcPr>
            <w:tcW w:w="1555" w:type="dxa"/>
            <w:shd w:val="clear" w:color="auto" w:fill="4DA3AB" w:themeFill="accent1"/>
          </w:tcPr>
          <w:p w14:paraId="025D7684" w14:textId="7869F908" w:rsidR="007051EC" w:rsidRPr="009A4425" w:rsidRDefault="007051EC" w:rsidP="009940D1">
            <w:pPr>
              <w:spacing w:before="80" w:after="80"/>
              <w:rPr>
                <w:b/>
                <w:sz w:val="24"/>
                <w:szCs w:val="24"/>
              </w:rPr>
            </w:pPr>
            <w:r>
              <w:rPr>
                <w:b/>
                <w:sz w:val="24"/>
                <w:szCs w:val="24"/>
              </w:rPr>
              <w:t>Acronym</w:t>
            </w:r>
          </w:p>
        </w:tc>
        <w:tc>
          <w:tcPr>
            <w:tcW w:w="7512" w:type="dxa"/>
            <w:shd w:val="clear" w:color="auto" w:fill="4DA3AB" w:themeFill="accent1"/>
          </w:tcPr>
          <w:p w14:paraId="2F74AE13" w14:textId="67096E39" w:rsidR="007051EC" w:rsidRPr="009A4425" w:rsidRDefault="00B05389" w:rsidP="009940D1">
            <w:pPr>
              <w:spacing w:before="80" w:after="80"/>
              <w:rPr>
                <w:b/>
                <w:sz w:val="24"/>
                <w:szCs w:val="24"/>
              </w:rPr>
            </w:pPr>
            <w:r>
              <w:rPr>
                <w:b/>
                <w:sz w:val="24"/>
                <w:szCs w:val="24"/>
              </w:rPr>
              <w:t>T</w:t>
            </w:r>
            <w:r w:rsidR="00471CE8">
              <w:rPr>
                <w:b/>
                <w:sz w:val="24"/>
                <w:szCs w:val="24"/>
              </w:rPr>
              <w:t>erm</w:t>
            </w:r>
            <w:r>
              <w:rPr>
                <w:b/>
                <w:sz w:val="24"/>
                <w:szCs w:val="24"/>
              </w:rPr>
              <w:t xml:space="preserve"> or phrase</w:t>
            </w:r>
          </w:p>
        </w:tc>
      </w:tr>
      <w:tr w:rsidR="007051EC" w:rsidRPr="00CB1F5C" w14:paraId="0CDF444B" w14:textId="77777777" w:rsidTr="001721A3">
        <w:trPr>
          <w:trHeight w:val="46"/>
        </w:trPr>
        <w:tc>
          <w:tcPr>
            <w:tcW w:w="1555" w:type="dxa"/>
            <w:shd w:val="clear" w:color="auto" w:fill="auto"/>
          </w:tcPr>
          <w:p w14:paraId="7A873348" w14:textId="78F70EBE" w:rsidR="007051EC" w:rsidRPr="00684BD5" w:rsidRDefault="007051EC" w:rsidP="009940D1">
            <w:pPr>
              <w:spacing w:before="80" w:after="80"/>
            </w:pPr>
            <w:r w:rsidRPr="000737FC">
              <w:t>AHRC</w:t>
            </w:r>
          </w:p>
        </w:tc>
        <w:tc>
          <w:tcPr>
            <w:tcW w:w="7512" w:type="dxa"/>
            <w:shd w:val="clear" w:color="auto" w:fill="auto"/>
          </w:tcPr>
          <w:p w14:paraId="2FC7539C" w14:textId="1BFF473F" w:rsidR="007051EC" w:rsidRPr="00CB1F5C" w:rsidRDefault="007051EC" w:rsidP="009940D1">
            <w:pPr>
              <w:spacing w:before="80" w:after="80"/>
              <w:rPr>
                <w:b/>
              </w:rPr>
            </w:pPr>
            <w:r w:rsidRPr="00B86B2C">
              <w:t>Australian Human Rights Commission</w:t>
            </w:r>
          </w:p>
        </w:tc>
      </w:tr>
      <w:tr w:rsidR="00883CF8" w:rsidRPr="00CB1F5C" w14:paraId="5149FC1E" w14:textId="77777777" w:rsidTr="001721A3">
        <w:trPr>
          <w:trHeight w:val="46"/>
        </w:trPr>
        <w:tc>
          <w:tcPr>
            <w:tcW w:w="1555" w:type="dxa"/>
            <w:shd w:val="clear" w:color="auto" w:fill="auto"/>
          </w:tcPr>
          <w:p w14:paraId="59932633" w14:textId="2838DBAC" w:rsidR="00883CF8" w:rsidRPr="000737FC" w:rsidRDefault="00883CF8" w:rsidP="00883CF8">
            <w:pPr>
              <w:spacing w:before="80" w:after="80"/>
            </w:pPr>
            <w:r>
              <w:t>APS</w:t>
            </w:r>
          </w:p>
        </w:tc>
        <w:tc>
          <w:tcPr>
            <w:tcW w:w="7512" w:type="dxa"/>
            <w:shd w:val="clear" w:color="auto" w:fill="auto"/>
          </w:tcPr>
          <w:p w14:paraId="7D2D635E" w14:textId="2B3C2E0B" w:rsidR="00883CF8" w:rsidRPr="00B86B2C" w:rsidRDefault="00883CF8" w:rsidP="00883CF8">
            <w:pPr>
              <w:spacing w:before="80" w:after="80"/>
            </w:pPr>
            <w:r w:rsidRPr="00883CF8">
              <w:t>Australian Public Service</w:t>
            </w:r>
          </w:p>
        </w:tc>
      </w:tr>
      <w:tr w:rsidR="007051EC" w:rsidRPr="00CB1F5C" w14:paraId="10523D08" w14:textId="77777777" w:rsidTr="001721A3">
        <w:trPr>
          <w:trHeight w:val="46"/>
        </w:trPr>
        <w:tc>
          <w:tcPr>
            <w:tcW w:w="1555" w:type="dxa"/>
            <w:shd w:val="clear" w:color="auto" w:fill="auto"/>
          </w:tcPr>
          <w:p w14:paraId="5424A47A" w14:textId="117E8E06" w:rsidR="007051EC" w:rsidRPr="00684BD5" w:rsidRDefault="007051EC" w:rsidP="009940D1">
            <w:pPr>
              <w:spacing w:before="80" w:after="80"/>
            </w:pPr>
            <w:r>
              <w:t>APSC</w:t>
            </w:r>
          </w:p>
        </w:tc>
        <w:tc>
          <w:tcPr>
            <w:tcW w:w="7512" w:type="dxa"/>
            <w:shd w:val="clear" w:color="auto" w:fill="auto"/>
          </w:tcPr>
          <w:p w14:paraId="1CC6C3CC" w14:textId="568930F6" w:rsidR="007051EC" w:rsidRPr="00CB1F5C" w:rsidRDefault="007051EC" w:rsidP="009940D1">
            <w:pPr>
              <w:spacing w:before="80" w:after="80"/>
              <w:rPr>
                <w:b/>
              </w:rPr>
            </w:pPr>
            <w:r w:rsidRPr="00B86B2C">
              <w:t>Australian Public Service Commission</w:t>
            </w:r>
          </w:p>
        </w:tc>
      </w:tr>
      <w:tr w:rsidR="007051EC" w:rsidRPr="00CB1F5C" w14:paraId="3BFFA878" w14:textId="77777777" w:rsidTr="001721A3">
        <w:trPr>
          <w:trHeight w:val="46"/>
        </w:trPr>
        <w:tc>
          <w:tcPr>
            <w:tcW w:w="1555" w:type="dxa"/>
            <w:shd w:val="clear" w:color="auto" w:fill="auto"/>
          </w:tcPr>
          <w:p w14:paraId="1BDC8FB2" w14:textId="23D8C798" w:rsidR="007051EC" w:rsidRPr="00684BD5" w:rsidRDefault="007051EC" w:rsidP="009940D1">
            <w:pPr>
              <w:spacing w:before="80" w:after="80"/>
            </w:pPr>
            <w:r>
              <w:t>APSED</w:t>
            </w:r>
          </w:p>
        </w:tc>
        <w:tc>
          <w:tcPr>
            <w:tcW w:w="7512" w:type="dxa"/>
            <w:shd w:val="clear" w:color="auto" w:fill="auto"/>
          </w:tcPr>
          <w:p w14:paraId="77817202" w14:textId="60033DA3" w:rsidR="007051EC" w:rsidRPr="00CB1F5C" w:rsidRDefault="007051EC" w:rsidP="009940D1">
            <w:pPr>
              <w:spacing w:before="80" w:after="80"/>
              <w:rPr>
                <w:b/>
              </w:rPr>
            </w:pPr>
            <w:r w:rsidRPr="00B86B2C">
              <w:t>Australian Public Service</w:t>
            </w:r>
            <w:r w:rsidR="00C93034">
              <w:t xml:space="preserve"> Employment</w:t>
            </w:r>
            <w:r w:rsidRPr="00B86B2C">
              <w:t xml:space="preserve"> Database</w:t>
            </w:r>
          </w:p>
        </w:tc>
      </w:tr>
      <w:tr w:rsidR="007051EC" w:rsidRPr="00CB1F5C" w14:paraId="3E3E52ED" w14:textId="77777777" w:rsidTr="001721A3">
        <w:trPr>
          <w:trHeight w:val="46"/>
        </w:trPr>
        <w:tc>
          <w:tcPr>
            <w:tcW w:w="1555" w:type="dxa"/>
            <w:shd w:val="clear" w:color="auto" w:fill="auto"/>
          </w:tcPr>
          <w:p w14:paraId="5756990B" w14:textId="16FE832D" w:rsidR="007051EC" w:rsidRPr="00684BD5" w:rsidRDefault="007051EC" w:rsidP="009940D1">
            <w:pPr>
              <w:spacing w:before="80" w:after="80"/>
            </w:pPr>
            <w:r w:rsidRPr="000737FC">
              <w:t>CAGEN</w:t>
            </w:r>
            <w:r w:rsidRPr="00684BD5">
              <w:t xml:space="preserve"> </w:t>
            </w:r>
          </w:p>
        </w:tc>
        <w:tc>
          <w:tcPr>
            <w:tcW w:w="7512" w:type="dxa"/>
            <w:shd w:val="clear" w:color="auto" w:fill="auto"/>
          </w:tcPr>
          <w:p w14:paraId="303A0E2B" w14:textId="18DF91C1" w:rsidR="007051EC" w:rsidRPr="00CB1F5C" w:rsidRDefault="00172192" w:rsidP="009940D1">
            <w:pPr>
              <w:spacing w:before="80" w:after="80"/>
              <w:rPr>
                <w:b/>
              </w:rPr>
            </w:pPr>
            <w:r>
              <w:t>Cross Agency Gender Equality Network</w:t>
            </w:r>
          </w:p>
        </w:tc>
      </w:tr>
      <w:tr w:rsidR="007051EC" w:rsidRPr="00CB1F5C" w14:paraId="00B74058" w14:textId="77777777" w:rsidTr="001721A3">
        <w:trPr>
          <w:trHeight w:val="46"/>
        </w:trPr>
        <w:tc>
          <w:tcPr>
            <w:tcW w:w="1555" w:type="dxa"/>
            <w:shd w:val="clear" w:color="auto" w:fill="auto"/>
          </w:tcPr>
          <w:p w14:paraId="10AE42D1" w14:textId="7AB8BD4A" w:rsidR="007051EC" w:rsidRPr="00684BD5" w:rsidRDefault="007051EC" w:rsidP="009940D1">
            <w:pPr>
              <w:spacing w:before="80" w:after="80"/>
            </w:pPr>
            <w:r w:rsidRPr="000737FC">
              <w:t>CALD</w:t>
            </w:r>
          </w:p>
        </w:tc>
        <w:tc>
          <w:tcPr>
            <w:tcW w:w="7512" w:type="dxa"/>
            <w:shd w:val="clear" w:color="auto" w:fill="auto"/>
          </w:tcPr>
          <w:p w14:paraId="08460194" w14:textId="62570F96" w:rsidR="007051EC" w:rsidRPr="00CB1F5C" w:rsidRDefault="007051EC" w:rsidP="009940D1">
            <w:pPr>
              <w:spacing w:before="80" w:after="80"/>
              <w:rPr>
                <w:b/>
              </w:rPr>
            </w:pPr>
            <w:r w:rsidRPr="00B86B2C">
              <w:t>Culturally and Linguistically Diverse</w:t>
            </w:r>
          </w:p>
        </w:tc>
      </w:tr>
      <w:tr w:rsidR="007051EC" w:rsidRPr="00CB1F5C" w14:paraId="3FEB4259" w14:textId="77777777" w:rsidTr="001721A3">
        <w:trPr>
          <w:trHeight w:val="46"/>
        </w:trPr>
        <w:tc>
          <w:tcPr>
            <w:tcW w:w="1555" w:type="dxa"/>
            <w:shd w:val="clear" w:color="auto" w:fill="auto"/>
          </w:tcPr>
          <w:p w14:paraId="387B0438" w14:textId="6C0BB310" w:rsidR="007051EC" w:rsidRPr="00684BD5" w:rsidRDefault="007051EC" w:rsidP="009940D1">
            <w:pPr>
              <w:spacing w:before="80" w:after="80"/>
            </w:pPr>
            <w:r w:rsidRPr="000737FC">
              <w:t>EL</w:t>
            </w:r>
          </w:p>
        </w:tc>
        <w:tc>
          <w:tcPr>
            <w:tcW w:w="7512" w:type="dxa"/>
            <w:shd w:val="clear" w:color="auto" w:fill="auto"/>
          </w:tcPr>
          <w:p w14:paraId="625DB4BB" w14:textId="7C584036" w:rsidR="007051EC" w:rsidRPr="00CB1F5C" w:rsidRDefault="007051EC" w:rsidP="009940D1">
            <w:pPr>
              <w:spacing w:before="80" w:after="80"/>
              <w:rPr>
                <w:b/>
              </w:rPr>
            </w:pPr>
            <w:r w:rsidRPr="00B86B2C">
              <w:t>Executive Level</w:t>
            </w:r>
          </w:p>
        </w:tc>
      </w:tr>
      <w:tr w:rsidR="007051EC" w:rsidRPr="00CB1F5C" w14:paraId="6BCB0855" w14:textId="77777777" w:rsidTr="001721A3">
        <w:trPr>
          <w:trHeight w:val="46"/>
        </w:trPr>
        <w:tc>
          <w:tcPr>
            <w:tcW w:w="1555" w:type="dxa"/>
            <w:shd w:val="clear" w:color="auto" w:fill="auto"/>
          </w:tcPr>
          <w:p w14:paraId="4514EF9F" w14:textId="05BBC5BD" w:rsidR="007051EC" w:rsidRPr="00684BD5" w:rsidRDefault="007051EC" w:rsidP="009940D1">
            <w:pPr>
              <w:spacing w:before="80" w:after="80"/>
            </w:pPr>
            <w:r w:rsidRPr="000737FC">
              <w:t>FDV</w:t>
            </w:r>
          </w:p>
        </w:tc>
        <w:tc>
          <w:tcPr>
            <w:tcW w:w="7512" w:type="dxa"/>
            <w:shd w:val="clear" w:color="auto" w:fill="auto"/>
          </w:tcPr>
          <w:p w14:paraId="4F397F07" w14:textId="634E2673" w:rsidR="007051EC" w:rsidRPr="00CB1F5C" w:rsidRDefault="007051EC" w:rsidP="009940D1">
            <w:pPr>
              <w:spacing w:before="80" w:after="80"/>
              <w:rPr>
                <w:b/>
              </w:rPr>
            </w:pPr>
            <w:r w:rsidRPr="00B86B2C">
              <w:t>Family and Domestic Violence</w:t>
            </w:r>
          </w:p>
        </w:tc>
      </w:tr>
      <w:tr w:rsidR="007051EC" w:rsidRPr="00CB1F5C" w14:paraId="13AADC70" w14:textId="77777777" w:rsidTr="001721A3">
        <w:trPr>
          <w:trHeight w:val="46"/>
        </w:trPr>
        <w:tc>
          <w:tcPr>
            <w:tcW w:w="1555" w:type="dxa"/>
            <w:shd w:val="clear" w:color="auto" w:fill="auto"/>
          </w:tcPr>
          <w:p w14:paraId="66D342D5" w14:textId="2A261577" w:rsidR="007051EC" w:rsidRPr="00684BD5" w:rsidRDefault="007051EC" w:rsidP="009940D1">
            <w:pPr>
              <w:spacing w:before="80" w:after="80"/>
            </w:pPr>
            <w:r w:rsidRPr="000737FC">
              <w:t>GES</w:t>
            </w:r>
          </w:p>
        </w:tc>
        <w:tc>
          <w:tcPr>
            <w:tcW w:w="7512" w:type="dxa"/>
            <w:shd w:val="clear" w:color="auto" w:fill="auto"/>
          </w:tcPr>
          <w:p w14:paraId="51B7CFC7" w14:textId="18039AA2" w:rsidR="007051EC" w:rsidRPr="00CB1F5C" w:rsidRDefault="007051EC" w:rsidP="009940D1">
            <w:pPr>
              <w:spacing w:before="80" w:after="80"/>
              <w:rPr>
                <w:b/>
              </w:rPr>
            </w:pPr>
            <w:r w:rsidRPr="00B86B2C">
              <w:t>Gender Equality Strategy</w:t>
            </w:r>
          </w:p>
        </w:tc>
      </w:tr>
      <w:tr w:rsidR="007051EC" w:rsidRPr="00CB1F5C" w14:paraId="2CEEB156" w14:textId="77777777" w:rsidTr="001721A3">
        <w:trPr>
          <w:trHeight w:val="46"/>
        </w:trPr>
        <w:tc>
          <w:tcPr>
            <w:tcW w:w="1555" w:type="dxa"/>
            <w:shd w:val="clear" w:color="auto" w:fill="auto"/>
          </w:tcPr>
          <w:p w14:paraId="03D6F3D8" w14:textId="793DAFE6" w:rsidR="007051EC" w:rsidRPr="00684BD5" w:rsidRDefault="007051EC" w:rsidP="009940D1">
            <w:pPr>
              <w:spacing w:before="80" w:after="80"/>
            </w:pPr>
            <w:r w:rsidRPr="000737FC">
              <w:t>IFA</w:t>
            </w:r>
          </w:p>
        </w:tc>
        <w:tc>
          <w:tcPr>
            <w:tcW w:w="7512" w:type="dxa"/>
            <w:shd w:val="clear" w:color="auto" w:fill="auto"/>
          </w:tcPr>
          <w:p w14:paraId="685556C5" w14:textId="618FA889" w:rsidR="007051EC" w:rsidRPr="00CB1F5C" w:rsidRDefault="007051EC" w:rsidP="009940D1">
            <w:pPr>
              <w:spacing w:before="80" w:after="80"/>
              <w:rPr>
                <w:b/>
              </w:rPr>
            </w:pPr>
            <w:r w:rsidRPr="00B86B2C">
              <w:t xml:space="preserve">Individual Flexibility </w:t>
            </w:r>
            <w:r w:rsidR="00C33A57">
              <w:t>Arrangement</w:t>
            </w:r>
          </w:p>
        </w:tc>
      </w:tr>
      <w:tr w:rsidR="007051EC" w:rsidRPr="00CB1F5C" w14:paraId="135F39AE" w14:textId="77777777" w:rsidTr="001721A3">
        <w:trPr>
          <w:trHeight w:val="46"/>
        </w:trPr>
        <w:tc>
          <w:tcPr>
            <w:tcW w:w="1555" w:type="dxa"/>
            <w:shd w:val="clear" w:color="auto" w:fill="auto"/>
          </w:tcPr>
          <w:p w14:paraId="7AC71FA4" w14:textId="5A5694CA" w:rsidR="007051EC" w:rsidRPr="00684BD5" w:rsidRDefault="007051EC" w:rsidP="009940D1">
            <w:pPr>
              <w:spacing w:before="80" w:after="80"/>
            </w:pPr>
            <w:r w:rsidRPr="000737FC">
              <w:t>SES</w:t>
            </w:r>
          </w:p>
        </w:tc>
        <w:tc>
          <w:tcPr>
            <w:tcW w:w="7512" w:type="dxa"/>
            <w:shd w:val="clear" w:color="auto" w:fill="auto"/>
          </w:tcPr>
          <w:p w14:paraId="4415CCD1" w14:textId="55CE8AA2" w:rsidR="007051EC" w:rsidRPr="00CB1F5C" w:rsidRDefault="007051EC" w:rsidP="009940D1">
            <w:pPr>
              <w:spacing w:before="80" w:after="80"/>
              <w:rPr>
                <w:b/>
              </w:rPr>
            </w:pPr>
            <w:r w:rsidRPr="00B86B2C">
              <w:t>Senior Executive Service</w:t>
            </w:r>
          </w:p>
        </w:tc>
      </w:tr>
      <w:tr w:rsidR="007051EC" w:rsidRPr="00CB1F5C" w14:paraId="64D7C790" w14:textId="77777777" w:rsidTr="001721A3">
        <w:trPr>
          <w:trHeight w:val="46"/>
        </w:trPr>
        <w:tc>
          <w:tcPr>
            <w:tcW w:w="1555" w:type="dxa"/>
            <w:shd w:val="clear" w:color="auto" w:fill="auto"/>
          </w:tcPr>
          <w:p w14:paraId="6F55DF26" w14:textId="7F1F0A85" w:rsidR="007051EC" w:rsidRPr="00684BD5" w:rsidRDefault="007051EC" w:rsidP="009940D1">
            <w:pPr>
              <w:spacing w:before="80" w:after="80"/>
            </w:pPr>
            <w:r w:rsidRPr="000737FC">
              <w:t>STEM</w:t>
            </w:r>
          </w:p>
        </w:tc>
        <w:tc>
          <w:tcPr>
            <w:tcW w:w="7512" w:type="dxa"/>
            <w:shd w:val="clear" w:color="auto" w:fill="auto"/>
          </w:tcPr>
          <w:p w14:paraId="4C5E9DC7" w14:textId="1CADC534" w:rsidR="007051EC" w:rsidRPr="00CB1F5C" w:rsidRDefault="007051EC" w:rsidP="009940D1">
            <w:pPr>
              <w:spacing w:before="80" w:after="80"/>
              <w:rPr>
                <w:b/>
              </w:rPr>
            </w:pPr>
            <w:r w:rsidRPr="00B86B2C">
              <w:t>Science, Technology, Engineering</w:t>
            </w:r>
            <w:r w:rsidR="00FA5918">
              <w:t>,</w:t>
            </w:r>
            <w:r w:rsidRPr="00B86B2C">
              <w:t xml:space="preserve"> and Mathematics</w:t>
            </w:r>
          </w:p>
        </w:tc>
      </w:tr>
      <w:tr w:rsidR="007051EC" w:rsidRPr="00CB1F5C" w14:paraId="0A050A66" w14:textId="77777777" w:rsidTr="001721A3">
        <w:trPr>
          <w:trHeight w:val="46"/>
        </w:trPr>
        <w:tc>
          <w:tcPr>
            <w:tcW w:w="1555" w:type="dxa"/>
            <w:shd w:val="clear" w:color="auto" w:fill="auto"/>
          </w:tcPr>
          <w:p w14:paraId="3DE104DF" w14:textId="200022D1" w:rsidR="007051EC" w:rsidRPr="00684BD5" w:rsidRDefault="007051EC" w:rsidP="009940D1">
            <w:pPr>
              <w:spacing w:before="80" w:after="80"/>
            </w:pPr>
            <w:r w:rsidRPr="000737FC">
              <w:t>WGEA</w:t>
            </w:r>
          </w:p>
        </w:tc>
        <w:tc>
          <w:tcPr>
            <w:tcW w:w="7512" w:type="dxa"/>
            <w:shd w:val="clear" w:color="auto" w:fill="auto"/>
          </w:tcPr>
          <w:p w14:paraId="7C84B447" w14:textId="1A91E7AE" w:rsidR="007051EC" w:rsidRPr="00CB1F5C" w:rsidRDefault="007051EC" w:rsidP="009940D1">
            <w:pPr>
              <w:spacing w:before="80" w:after="80"/>
              <w:rPr>
                <w:b/>
              </w:rPr>
            </w:pPr>
            <w:r w:rsidRPr="00B86B2C">
              <w:t xml:space="preserve">Workplace Gender Equality Agency </w:t>
            </w:r>
          </w:p>
        </w:tc>
      </w:tr>
    </w:tbl>
    <w:p w14:paraId="751C9621" w14:textId="3FF875EF" w:rsidR="00A61B46" w:rsidRDefault="00A61B46" w:rsidP="00A61B46">
      <w:pPr>
        <w:rPr>
          <w:lang w:val="en-US"/>
        </w:rPr>
      </w:pPr>
      <w:bookmarkStart w:id="24" w:name="_Toc165991636"/>
      <w:bookmarkStart w:id="25" w:name="_Toc166082934"/>
      <w:bookmarkStart w:id="26" w:name="_Toc166160298"/>
      <w:bookmarkStart w:id="27" w:name="_Toc166167997"/>
      <w:bookmarkStart w:id="28" w:name="_Toc168329153"/>
      <w:bookmarkStart w:id="29" w:name="_Toc168322810"/>
      <w:bookmarkStart w:id="30" w:name="_Toc168387926"/>
      <w:bookmarkStart w:id="31" w:name="_Toc168405581"/>
      <w:bookmarkStart w:id="32" w:name="_Toc168408619"/>
      <w:bookmarkStart w:id="33" w:name="_Toc168411020"/>
      <w:bookmarkStart w:id="34" w:name="_Toc168405880"/>
      <w:bookmarkStart w:id="35" w:name="_Toc168473688"/>
      <w:bookmarkStart w:id="36" w:name="_Toc168471586"/>
      <w:bookmarkStart w:id="37" w:name="_Toc168484646"/>
      <w:bookmarkStart w:id="38" w:name="_Toc168495115"/>
      <w:bookmarkStart w:id="39" w:name="_Toc168495564"/>
      <w:bookmarkStart w:id="40" w:name="_Toc169103232"/>
    </w:p>
    <w:p w14:paraId="5FB678B3" w14:textId="79142749" w:rsidR="00B10611" w:rsidRPr="00A61B46" w:rsidRDefault="00B10611" w:rsidP="428BAFE8">
      <w:pPr>
        <w:rPr>
          <w:rFonts w:asciiTheme="majorHAnsi" w:eastAsiaTheme="majorEastAsia" w:hAnsiTheme="majorHAnsi" w:cstheme="majorBidi"/>
          <w:color w:val="0D0D0D" w:themeColor="text1" w:themeTint="F2"/>
          <w:sz w:val="40"/>
          <w:szCs w:val="40"/>
          <w:lang w:val="en-US"/>
        </w:rPr>
      </w:pPr>
      <w:bookmarkStart w:id="41" w:name="_Toc165991641"/>
      <w:bookmarkStart w:id="42" w:name="_Toc166082939"/>
      <w:bookmarkStart w:id="43" w:name="_Toc166160303"/>
      <w:bookmarkStart w:id="44" w:name="_Toc166168002"/>
      <w:bookmarkStart w:id="45" w:name="_Toc168329156"/>
      <w:bookmarkStart w:id="46" w:name="_Toc168322813"/>
      <w:bookmarkStart w:id="47" w:name="_Toc168387929"/>
      <w:bookmarkStart w:id="48" w:name="_Toc168405584"/>
      <w:bookmarkStart w:id="49" w:name="_Toc168408622"/>
      <w:bookmarkStart w:id="50" w:name="_Toc168411023"/>
      <w:bookmarkStart w:id="51" w:name="_Toc168405883"/>
      <w:bookmarkStart w:id="52" w:name="_Toc168473691"/>
      <w:bookmarkStart w:id="53" w:name="_Toc168471589"/>
      <w:bookmarkStart w:id="54" w:name="_Toc168484649"/>
      <w:bookmarkStart w:id="55" w:name="_Toc168495118"/>
      <w:bookmarkStart w:id="56" w:name="_Toc168495567"/>
      <w:bookmarkStart w:id="57" w:name="_Toc169103235"/>
      <w:bookmarkStart w:id="58" w:name="_Toc169104709"/>
      <w:bookmarkStart w:id="59" w:name="_Toc169278425"/>
      <w:bookmarkStart w:id="60" w:name="_Toc169536864"/>
      <w:bookmarkStart w:id="61" w:name="_Toc169708616"/>
      <w:bookmarkStart w:id="62" w:name="_Toc170119660"/>
      <w:bookmarkStart w:id="63" w:name="_Toc170138043"/>
      <w:bookmarkStart w:id="64" w:name="_Toc17014011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73B4D69D">
        <w:rPr>
          <w:rFonts w:asciiTheme="majorHAnsi" w:eastAsiaTheme="majorEastAsia" w:hAnsiTheme="majorHAnsi" w:cstheme="majorBidi"/>
          <w:sz w:val="40"/>
          <w:szCs w:val="40"/>
          <w:lang w:val="en-US"/>
        </w:rPr>
        <w:t>Notes on the us</w:t>
      </w:r>
      <w:r w:rsidR="2E3A1039" w:rsidRPr="73B4D69D">
        <w:rPr>
          <w:rFonts w:asciiTheme="majorHAnsi" w:eastAsiaTheme="majorEastAsia" w:hAnsiTheme="majorHAnsi" w:cstheme="majorBidi"/>
          <w:sz w:val="40"/>
          <w:szCs w:val="40"/>
          <w:lang w:val="en-US"/>
        </w:rPr>
        <w:t>e</w:t>
      </w:r>
      <w:r w:rsidRPr="73B4D69D">
        <w:rPr>
          <w:rFonts w:asciiTheme="majorHAnsi" w:eastAsiaTheme="majorEastAsia" w:hAnsiTheme="majorHAnsi" w:cstheme="majorBidi"/>
          <w:sz w:val="40"/>
          <w:szCs w:val="40"/>
          <w:lang w:val="en-US"/>
        </w:rPr>
        <w:t xml:space="preserve"> of gender-related terms in this report </w:t>
      </w:r>
    </w:p>
    <w:p w14:paraId="76415D24" w14:textId="77777777" w:rsidR="00B10611" w:rsidRDefault="00B10611" w:rsidP="00B10611">
      <w:r>
        <w:t xml:space="preserve">Data sources relied on in this report alternatively collect sex and/or gender variables. </w:t>
      </w:r>
    </w:p>
    <w:p w14:paraId="449F206B" w14:textId="77777777" w:rsidR="00B10611" w:rsidRDefault="00B10611" w:rsidP="00B10611">
      <w:r>
        <w:t xml:space="preserve">For ease of reading, this report uses the terms man/male and woman/female interchangeably. </w:t>
      </w:r>
    </w:p>
    <w:p w14:paraId="27AB89E8" w14:textId="246F9608" w:rsidR="00B10611" w:rsidRDefault="00B10611" w:rsidP="00B10611">
      <w:r>
        <w:t>For non-binary employees, non-binary is an umbrella term describing gender identities that are not exclusively those of man/male or woman/female.</w:t>
      </w:r>
      <w:bookmarkStart w:id="65" w:name="_Ref170378963"/>
      <w:r>
        <w:rPr>
          <w:rStyle w:val="FootnoteReference"/>
        </w:rPr>
        <w:footnoteReference w:id="2"/>
      </w:r>
      <w:bookmarkEnd w:id="65"/>
      <w:r>
        <w:t xml:space="preserve"> Non-binary employee data that is collected in the APS Employment Database (APSED) has been included throughout this report where possible. It has been excluded when counts of these employees were too small to report meaningful findings or may lead to identification. The proportion of employees who identify as non-binary are less than half a percent of the overall Australian Public Service (APS) workforce, based on APSED data as at </w:t>
      </w:r>
      <w:r w:rsidR="157D96CB">
        <w:t xml:space="preserve">31 </w:t>
      </w:r>
      <w:r>
        <w:t>December 2023.</w:t>
      </w:r>
    </w:p>
    <w:p w14:paraId="7AD6455F" w14:textId="15CFE28C" w:rsidR="00B10611" w:rsidRDefault="00B10611" w:rsidP="00B10611">
      <w:r>
        <w:lastRenderedPageBreak/>
        <w:t>Employees who use a different gender term are those who described their gender as a term other than man or male, woman or female, or non-binary.</w:t>
      </w:r>
      <w:r>
        <w:rPr>
          <w:rStyle w:val="FootnoteReference"/>
        </w:rPr>
        <w:footnoteReference w:id="3"/>
      </w:r>
      <w:r>
        <w:t xml:space="preserve"> Data for employees who use a different gender term has been included throughout this report where possible, however this data does not exist for some sources (such as the APSED),</w:t>
      </w:r>
      <w:r w:rsidR="4D95E60D">
        <w:t xml:space="preserve"> </w:t>
      </w:r>
      <w:r>
        <w:t>and has not been reported when counts were too small to report meaningful findings or may lead to identification.</w:t>
      </w:r>
    </w:p>
    <w:p w14:paraId="31FCD816" w14:textId="77777777" w:rsidR="000E5E56" w:rsidRDefault="000E5E56">
      <w:pPr>
        <w:spacing w:line="360" w:lineRule="auto"/>
        <w:rPr>
          <w:rFonts w:asciiTheme="majorHAnsi" w:eastAsiaTheme="majorEastAsia" w:hAnsiTheme="majorHAnsi" w:cstheme="majorBidi"/>
          <w:b/>
          <w:sz w:val="52"/>
          <w:szCs w:val="32"/>
        </w:rPr>
      </w:pPr>
      <w:r>
        <w:br w:type="page"/>
      </w:r>
    </w:p>
    <w:p w14:paraId="64FA73DB" w14:textId="4FDF95A5" w:rsidR="00C10980" w:rsidRDefault="009243C2" w:rsidP="009243C2">
      <w:pPr>
        <w:pStyle w:val="Sectionheading"/>
      </w:pPr>
      <w:bookmarkStart w:id="66" w:name="_Toc181715714"/>
      <w:r w:rsidRPr="009243C2">
        <w:lastRenderedPageBreak/>
        <w:t>Introduction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6"/>
    </w:p>
    <w:p w14:paraId="3562C538" w14:textId="1B47AFC7" w:rsidR="0014571E" w:rsidRDefault="0014571E" w:rsidP="0014571E">
      <w:pPr>
        <w:pStyle w:val="Heading1"/>
      </w:pPr>
      <w:bookmarkStart w:id="67" w:name="_Toc169708617"/>
      <w:bookmarkStart w:id="68" w:name="_Toc170119661"/>
      <w:bookmarkStart w:id="69" w:name="_Toc170138044"/>
      <w:bookmarkStart w:id="70" w:name="_Toc170140117"/>
      <w:bookmarkStart w:id="71" w:name="_Toc181715715"/>
      <w:r>
        <w:t>Executive summary</w:t>
      </w:r>
      <w:bookmarkEnd w:id="67"/>
      <w:bookmarkEnd w:id="68"/>
      <w:bookmarkEnd w:id="69"/>
      <w:bookmarkEnd w:id="70"/>
      <w:bookmarkEnd w:id="71"/>
    </w:p>
    <w:p w14:paraId="2D1D61B5" w14:textId="4A896E5D" w:rsidR="009A51A2" w:rsidRDefault="009A51A2" w:rsidP="018A5CE4">
      <w:r>
        <w:t xml:space="preserve">The APS is committed to </w:t>
      </w:r>
      <w:r w:rsidR="00243F7E">
        <w:t>progressing gender equality. It</w:t>
      </w:r>
      <w:r>
        <w:t xml:space="preserve"> recognise</w:t>
      </w:r>
      <w:r w:rsidR="00243F7E">
        <w:t>s</w:t>
      </w:r>
      <w:r>
        <w:t xml:space="preserve"> that gender equality is essential to building a workforce </w:t>
      </w:r>
      <w:r w:rsidR="4293954C">
        <w:t>that</w:t>
      </w:r>
      <w:r>
        <w:t xml:space="preserve"> can inform better business outcomes through diversity of perspectives, skills</w:t>
      </w:r>
      <w:r w:rsidR="00897C27">
        <w:t>,</w:t>
      </w:r>
      <w:r>
        <w:t xml:space="preserve"> and backgrounds. </w:t>
      </w:r>
    </w:p>
    <w:p w14:paraId="652DEE8A" w14:textId="583A39A7" w:rsidR="007348F4" w:rsidRDefault="007348F4" w:rsidP="007348F4">
      <w:r>
        <w:t>The diversity of the workforce is strengthened by taking a whole-of-APS</w:t>
      </w:r>
      <w:r w:rsidR="00243F7E">
        <w:t xml:space="preserve"> approach to gender equality. The </w:t>
      </w:r>
      <w:r w:rsidR="001A5762">
        <w:t>Australian Public Service Commission (</w:t>
      </w:r>
      <w:r w:rsidR="00B951C5">
        <w:t>APS</w:t>
      </w:r>
      <w:r w:rsidR="001A5762">
        <w:t>C)</w:t>
      </w:r>
      <w:r>
        <w:t xml:space="preserve"> do</w:t>
      </w:r>
      <w:r w:rsidR="00243F7E">
        <w:t>es</w:t>
      </w:r>
      <w:r>
        <w:t xml:space="preserve"> this t</w:t>
      </w:r>
      <w:r w:rsidR="00243F7E">
        <w:t>hrough implement</w:t>
      </w:r>
      <w:r w:rsidR="00B951C5">
        <w:t>ing</w:t>
      </w:r>
      <w:r w:rsidR="00243F7E">
        <w:t xml:space="preserve"> </w:t>
      </w:r>
      <w:r w:rsidR="00B951C5">
        <w:t xml:space="preserve">various </w:t>
      </w:r>
      <w:r>
        <w:t xml:space="preserve">diversity strategies and by working closely with agencies to consider agency-specific initiatives. </w:t>
      </w:r>
    </w:p>
    <w:p w14:paraId="5A9CD316" w14:textId="2BD39AF4" w:rsidR="00DF0717" w:rsidRPr="0031443C" w:rsidRDefault="1B79BD4B" w:rsidP="09C15767">
      <w:r>
        <w:t>The APS Gender Equality Strategy 2021-2026 (the Strategy) sets the vision for achieving gender equality in the APS. The Strategy sets out 6 overarching actions and thirty action areas (including minimum standards) for progressing gender equality in any given APS agency. Secretaries and Agency heads are accountable for implementing the Strategy and reporting on progress.</w:t>
      </w:r>
    </w:p>
    <w:p w14:paraId="0DEE1717" w14:textId="565CEF00" w:rsidR="00F60079" w:rsidRDefault="006F4BFD" w:rsidP="018A5CE4">
      <w:r>
        <w:t xml:space="preserve">The APS </w:t>
      </w:r>
      <w:r w:rsidR="005E401B">
        <w:t>has made significant gains 2 years from</w:t>
      </w:r>
      <w:r>
        <w:t xml:space="preserve"> the launch of the Strategy</w:t>
      </w:r>
      <w:r w:rsidR="00627A60">
        <w:t>, particularly as it relates to the profile of the workforce</w:t>
      </w:r>
      <w:r>
        <w:t xml:space="preserve">. </w:t>
      </w:r>
      <w:r w:rsidR="00F60079">
        <w:t>As at 31 December 2023:</w:t>
      </w:r>
    </w:p>
    <w:p w14:paraId="01F87765" w14:textId="77777777" w:rsidR="00F60079" w:rsidRDefault="00F60079" w:rsidP="00F9645E">
      <w:pPr>
        <w:pStyle w:val="ListParagraph"/>
        <w:numPr>
          <w:ilvl w:val="0"/>
          <w:numId w:val="53"/>
        </w:numPr>
        <w:spacing w:before="0" w:after="160" w:line="259" w:lineRule="auto"/>
      </w:pPr>
      <w:r>
        <w:t>60% of the APS were women</w:t>
      </w:r>
    </w:p>
    <w:p w14:paraId="34090D59" w14:textId="77777777" w:rsidR="00F60079" w:rsidRPr="00043158" w:rsidRDefault="00F60079" w:rsidP="00F9645E">
      <w:pPr>
        <w:pStyle w:val="ListParagraph"/>
        <w:numPr>
          <w:ilvl w:val="0"/>
          <w:numId w:val="53"/>
        </w:numPr>
        <w:spacing w:before="0" w:after="160" w:line="259" w:lineRule="auto"/>
      </w:pPr>
      <w:r>
        <w:t>the APS reached gender parity at the SES Band 2 classification with women comprising 51% of this cohort</w:t>
      </w:r>
    </w:p>
    <w:p w14:paraId="5A51D6E4" w14:textId="3D724DCB" w:rsidR="00F60079" w:rsidRDefault="00F60079" w:rsidP="00F9645E">
      <w:pPr>
        <w:pStyle w:val="ListParagraph"/>
        <w:numPr>
          <w:ilvl w:val="0"/>
          <w:numId w:val="53"/>
        </w:numPr>
        <w:spacing w:before="0" w:after="160" w:line="259" w:lineRule="auto"/>
      </w:pPr>
      <w:r>
        <w:t>women reached and in most cases exceeded parity with men at every level from APS 1 to SES Band 2</w:t>
      </w:r>
    </w:p>
    <w:p w14:paraId="651F27F5" w14:textId="16A9E40B" w:rsidR="004C714C" w:rsidRPr="00043158" w:rsidRDefault="004C714C" w:rsidP="00F9645E">
      <w:pPr>
        <w:pStyle w:val="ListParagraph"/>
        <w:numPr>
          <w:ilvl w:val="0"/>
          <w:numId w:val="53"/>
        </w:numPr>
        <w:spacing w:before="0" w:after="160" w:line="259" w:lineRule="auto"/>
      </w:pPr>
      <w:proofErr w:type="gramStart"/>
      <w:r>
        <w:t>parity</w:t>
      </w:r>
      <w:proofErr w:type="gramEnd"/>
      <w:r>
        <w:t xml:space="preserve"> was close to being achieved at the SES Band 3 level, with women comprising 49% of this cohort.</w:t>
      </w:r>
    </w:p>
    <w:p w14:paraId="10ADC538" w14:textId="77777777" w:rsidR="00F60079" w:rsidRDefault="00F60079" w:rsidP="00F60079">
      <w:r>
        <w:t>The APS also narrowed its gender pay gap to 4.5% in December 2023, which was a fall from 6.0% in December 2021. This narrowing was particularly positive in comparison to the Australian gender pay gap, which was reported at 12% in February 2024.</w:t>
      </w:r>
    </w:p>
    <w:p w14:paraId="3A478F7B" w14:textId="18789E55" w:rsidR="00492D65" w:rsidRDefault="6F4E657E" w:rsidP="00492D65">
      <w:pPr>
        <w:pStyle w:val="Heading2"/>
      </w:pPr>
      <w:r>
        <w:t>Understanding the s</w:t>
      </w:r>
      <w:r w:rsidR="00492D65">
        <w:t>trategic landscape</w:t>
      </w:r>
    </w:p>
    <w:p w14:paraId="76B9B5FF" w14:textId="77777777" w:rsidR="00AB0A1C" w:rsidRDefault="00492D65" w:rsidP="00AB0A1C">
      <w:pPr>
        <w:spacing w:before="240" w:after="240"/>
      </w:pPr>
      <w:r>
        <w:t>APS agencies have faced unprecedented change over the last few years. Since the Strategy was launched, the national approach to gender equality has shifted, resulting in a heightened focus on ending gender-based harassment and violence, improving outcomes for women experiencing perimenopause and menopause, embedding gender responsive budgeting and impact analysis as part of standard government practice, and enabling greater transparency through gender equality reporting. The approach to gender equality in the APS has been influenced in 2024 by th</w:t>
      </w:r>
      <w:r w:rsidR="35F68D4C">
        <w:t>e following:</w:t>
      </w:r>
    </w:p>
    <w:p w14:paraId="2EC7C816" w14:textId="3BD508A7" w:rsidR="00492D65" w:rsidRDefault="00492D65" w:rsidP="00F9645E">
      <w:pPr>
        <w:pStyle w:val="ListParagraph"/>
        <w:numPr>
          <w:ilvl w:val="0"/>
          <w:numId w:val="55"/>
        </w:numPr>
      </w:pPr>
      <w:r>
        <w:t>T</w:t>
      </w:r>
      <w:r w:rsidRPr="00AB0A1C">
        <w:rPr>
          <w:rFonts w:eastAsiaTheme="minorEastAsia"/>
        </w:rPr>
        <w:t xml:space="preserve">he Australian Government’s </w:t>
      </w:r>
      <w:hyperlink r:id="rId15" w:history="1">
        <w:proofErr w:type="gramStart"/>
        <w:r w:rsidRPr="00AB0A1C">
          <w:rPr>
            <w:rStyle w:val="Hyperlink"/>
            <w:i/>
            <w:iCs/>
          </w:rPr>
          <w:t>Working</w:t>
        </w:r>
        <w:proofErr w:type="gramEnd"/>
        <w:r w:rsidRPr="00AB0A1C">
          <w:rPr>
            <w:rStyle w:val="Hyperlink"/>
            <w:i/>
            <w:iCs/>
          </w:rPr>
          <w:t xml:space="preserve"> for Women: A Strategy for Gender Equality</w:t>
        </w:r>
      </w:hyperlink>
      <w:r w:rsidRPr="00AB0A1C">
        <w:rPr>
          <w:rFonts w:eastAsiaTheme="minorEastAsia"/>
        </w:rPr>
        <w:t xml:space="preserve"> was released on 7 March 2024. It outlines the Australian Government's vision for gender equality – an Australia where people are safe, treated with respect, have choices, and have access to resources and equal outcomes no matter their gender.</w:t>
      </w:r>
    </w:p>
    <w:p w14:paraId="4CB74ABA" w14:textId="168E2FE4" w:rsidR="2B10A2C5" w:rsidRDefault="2B10A2C5" w:rsidP="2B10A2C5">
      <w:pPr>
        <w:pStyle w:val="ListParagraph"/>
        <w:numPr>
          <w:ilvl w:val="0"/>
          <w:numId w:val="0"/>
        </w:numPr>
        <w:ind w:left="720" w:hanging="360"/>
      </w:pPr>
    </w:p>
    <w:p w14:paraId="0C932E93" w14:textId="3B82670E" w:rsidR="00492D65" w:rsidRDefault="00492D65" w:rsidP="00F9645E">
      <w:pPr>
        <w:pStyle w:val="ListParagraph"/>
        <w:numPr>
          <w:ilvl w:val="0"/>
          <w:numId w:val="54"/>
        </w:numPr>
      </w:pPr>
      <w:r>
        <w:t xml:space="preserve">The Australian Government’s annual </w:t>
      </w:r>
      <w:hyperlink r:id="rId16" w:history="1">
        <w:r w:rsidRPr="472F967E">
          <w:rPr>
            <w:rStyle w:val="Hyperlink"/>
          </w:rPr>
          <w:t>Status of Women Report Card</w:t>
        </w:r>
      </w:hyperlink>
      <w:r>
        <w:t xml:space="preserve"> includes the most recent available data on the social and economic equality issues facing women and girls in Australia.</w:t>
      </w:r>
    </w:p>
    <w:p w14:paraId="276B3384" w14:textId="65D3E06F" w:rsidR="2B10A2C5" w:rsidRDefault="2B10A2C5" w:rsidP="2B10A2C5">
      <w:pPr>
        <w:pStyle w:val="ListParagraph"/>
        <w:numPr>
          <w:ilvl w:val="0"/>
          <w:numId w:val="0"/>
        </w:numPr>
        <w:ind w:left="720" w:hanging="360"/>
      </w:pPr>
    </w:p>
    <w:p w14:paraId="47BE360B" w14:textId="0E7D6CF7" w:rsidR="00AB5939" w:rsidRPr="00243F7E" w:rsidRDefault="00AB5939" w:rsidP="00F9645E">
      <w:pPr>
        <w:pStyle w:val="ListParagraph"/>
        <w:numPr>
          <w:ilvl w:val="0"/>
          <w:numId w:val="54"/>
        </w:numPr>
        <w:rPr>
          <w:rFonts w:asciiTheme="minorHAnsi" w:eastAsiaTheme="minorEastAsia" w:hAnsiTheme="minorHAnsi" w:cstheme="minorBidi"/>
        </w:rPr>
      </w:pPr>
      <w:r>
        <w:lastRenderedPageBreak/>
        <w:t xml:space="preserve">The Australian Government is committed to gender responsive budgeting and putting gender equality and impacts on women at the centre of budget making decisions. In 2024, the Australian Government released the </w:t>
      </w:r>
      <w:hyperlink r:id="rId17" w:history="1">
        <w:r w:rsidRPr="472F967E">
          <w:rPr>
            <w:rStyle w:val="Hyperlink"/>
            <w:rFonts w:cstheme="minorBidi"/>
          </w:rPr>
          <w:t>APS Guide to Gender Analysis and Gender Impact Assessment</w:t>
        </w:r>
      </w:hyperlink>
      <w:r>
        <w:t xml:space="preserve">, established the </w:t>
      </w:r>
      <w:hyperlink r:id="rId18" w:history="1">
        <w:r w:rsidRPr="472F967E">
          <w:rPr>
            <w:rStyle w:val="Hyperlink"/>
            <w:rFonts w:cstheme="minorBidi"/>
          </w:rPr>
          <w:t>APS Gender Analysis Community of Practice</w:t>
        </w:r>
      </w:hyperlink>
      <w:r>
        <w:t xml:space="preserve">, and also released supporting </w:t>
      </w:r>
      <w:hyperlink r:id="rId19" w:history="1">
        <w:r w:rsidRPr="472F967E">
          <w:rPr>
            <w:rStyle w:val="Hyperlink"/>
            <w:rFonts w:cstheme="minorBidi"/>
          </w:rPr>
          <w:t>micro-credentials</w:t>
        </w:r>
      </w:hyperlink>
      <w:r w:rsidRPr="472F967E">
        <w:rPr>
          <w:rFonts w:asciiTheme="minorHAnsi" w:eastAsiaTheme="minorEastAsia" w:hAnsiTheme="minorHAnsi" w:cstheme="minorBidi"/>
        </w:rPr>
        <w:t xml:space="preserve"> and online awareness </w:t>
      </w:r>
      <w:hyperlink r:id="rId20" w:history="1">
        <w:r w:rsidRPr="472F967E">
          <w:rPr>
            <w:rStyle w:val="Hyperlink"/>
            <w:rFonts w:cstheme="minorBidi"/>
          </w:rPr>
          <w:t>foundations courses</w:t>
        </w:r>
      </w:hyperlink>
      <w:r w:rsidRPr="472F967E">
        <w:rPr>
          <w:rFonts w:asciiTheme="minorHAnsi" w:eastAsiaTheme="minorEastAsia" w:hAnsiTheme="minorHAnsi" w:cstheme="minorBidi"/>
        </w:rPr>
        <w:t xml:space="preserve"> through the APS Academy. </w:t>
      </w:r>
    </w:p>
    <w:p w14:paraId="05B78058" w14:textId="749279A1" w:rsidR="2B10A2C5" w:rsidRDefault="2B10A2C5" w:rsidP="2B10A2C5">
      <w:pPr>
        <w:pStyle w:val="ListParagraph"/>
        <w:numPr>
          <w:ilvl w:val="0"/>
          <w:numId w:val="0"/>
        </w:numPr>
        <w:ind w:left="720" w:hanging="360"/>
      </w:pPr>
    </w:p>
    <w:p w14:paraId="0ACADAE5" w14:textId="01DB4D05" w:rsidR="00492D65" w:rsidRDefault="00492D65" w:rsidP="00F9645E">
      <w:pPr>
        <w:pStyle w:val="ListParagraph"/>
        <w:numPr>
          <w:ilvl w:val="0"/>
          <w:numId w:val="54"/>
        </w:numPr>
      </w:pPr>
      <w:r>
        <w:t>The Workplace Gender Equality Act 2012 now requires employers, both private and public sector, with 100 or more employee</w:t>
      </w:r>
      <w:r w:rsidR="00FC53A2">
        <w:t>s to report annually against 6</w:t>
      </w:r>
      <w:r>
        <w:t xml:space="preserve"> gender equality indicators and gender pay gap. From 2025, results from APS agencies will be publicly available.</w:t>
      </w:r>
    </w:p>
    <w:p w14:paraId="1A624B14" w14:textId="20FB4B52" w:rsidR="2B10A2C5" w:rsidRDefault="2B10A2C5" w:rsidP="2B10A2C5">
      <w:pPr>
        <w:pStyle w:val="ListParagraph"/>
        <w:numPr>
          <w:ilvl w:val="0"/>
          <w:numId w:val="0"/>
        </w:numPr>
        <w:ind w:left="720" w:hanging="360"/>
      </w:pPr>
    </w:p>
    <w:p w14:paraId="55B14AD2" w14:textId="63312EBA" w:rsidR="00492D65" w:rsidRPr="00275D82" w:rsidRDefault="00492D65" w:rsidP="00F9645E">
      <w:pPr>
        <w:pStyle w:val="ListParagraph"/>
        <w:numPr>
          <w:ilvl w:val="0"/>
          <w:numId w:val="54"/>
        </w:numPr>
      </w:pPr>
      <w:r>
        <w:t>Amendments have been made to the National Employment Standards and Fair Work Act which reflect gains in gender equality. This includes improvement</w:t>
      </w:r>
      <w:r w:rsidR="00FC53A2">
        <w:t>s</w:t>
      </w:r>
      <w:r>
        <w:t xml:space="preserve"> in access to paid parental leave, Flexible work arrangements, and update to Family and Domestic Violence leave reporting requirements. </w:t>
      </w:r>
    </w:p>
    <w:p w14:paraId="6B2EFEAF" w14:textId="5D02784A" w:rsidR="2B10A2C5" w:rsidRDefault="2B10A2C5" w:rsidP="2B10A2C5">
      <w:pPr>
        <w:pStyle w:val="ListParagraph"/>
        <w:numPr>
          <w:ilvl w:val="0"/>
          <w:numId w:val="0"/>
        </w:numPr>
        <w:ind w:left="720" w:hanging="360"/>
      </w:pPr>
    </w:p>
    <w:p w14:paraId="680BE92E" w14:textId="26ADD19E" w:rsidR="00492D65" w:rsidRDefault="00492D65" w:rsidP="00F9645E">
      <w:pPr>
        <w:pStyle w:val="ListParagraph"/>
        <w:numPr>
          <w:ilvl w:val="0"/>
          <w:numId w:val="54"/>
        </w:numPr>
      </w:pPr>
      <w:r>
        <w:t>Changes to the Sex Discrimination Act 1984 (</w:t>
      </w:r>
      <w:proofErr w:type="spellStart"/>
      <w:r>
        <w:t>Cth</w:t>
      </w:r>
      <w:proofErr w:type="spellEnd"/>
      <w:r>
        <w:t xml:space="preserve">) to include positive duty imposes a legal obligation on organisations, including all APS departments and agencies, to take proactive action to prevent sexual harassment and related unlawful behaviours from occurring in the workplace, or in connection to work. The </w:t>
      </w:r>
      <w:hyperlink r:id="rId21" w:history="1">
        <w:r w:rsidRPr="472F967E">
          <w:rPr>
            <w:rStyle w:val="Hyperlink"/>
          </w:rPr>
          <w:t>Australian Human Rights Commission</w:t>
        </w:r>
      </w:hyperlink>
      <w:r>
        <w:t xml:space="preserve">, </w:t>
      </w:r>
      <w:hyperlink r:id="rId22" w:history="1">
        <w:proofErr w:type="spellStart"/>
        <w:r w:rsidRPr="472F967E">
          <w:rPr>
            <w:rStyle w:val="Hyperlink"/>
          </w:rPr>
          <w:t>Comcare</w:t>
        </w:r>
        <w:proofErr w:type="spellEnd"/>
      </w:hyperlink>
      <w:r>
        <w:t xml:space="preserve"> and </w:t>
      </w:r>
      <w:hyperlink r:id="rId23" w:history="1">
        <w:r w:rsidRPr="472F967E">
          <w:rPr>
            <w:rStyle w:val="Hyperlink"/>
          </w:rPr>
          <w:t>Safe Work Australia</w:t>
        </w:r>
      </w:hyperlink>
      <w:r>
        <w:t xml:space="preserve"> have released comprehensive information and resources to help organisations fulfil their obligations and create respectful workplaces that are free from harassment.</w:t>
      </w:r>
      <w:r w:rsidR="0036037D">
        <w:t xml:space="preserve"> </w:t>
      </w:r>
      <w:r>
        <w:t xml:space="preserve">The APSC also released the </w:t>
      </w:r>
      <w:hyperlink r:id="rId24" w:history="1">
        <w:r w:rsidRPr="472F967E">
          <w:rPr>
            <w:rStyle w:val="Hyperlink"/>
          </w:rPr>
          <w:t>APS Model Policy for the Prevention of Workplace Sexual Harassment and related unlawful conduct</w:t>
        </w:r>
      </w:hyperlink>
      <w:r>
        <w:t xml:space="preserve">. </w:t>
      </w:r>
    </w:p>
    <w:p w14:paraId="0051B28A" w14:textId="44651080" w:rsidR="018A5CE4" w:rsidRDefault="018A5CE4" w:rsidP="09C15767">
      <w:pPr>
        <w:pStyle w:val="ListParagraph"/>
        <w:numPr>
          <w:ilvl w:val="0"/>
          <w:numId w:val="0"/>
        </w:numPr>
        <w:ind w:left="720"/>
      </w:pPr>
    </w:p>
    <w:p w14:paraId="380B2E68" w14:textId="2DE4660A" w:rsidR="00492D65" w:rsidRDefault="00492D65" w:rsidP="00F9645E">
      <w:pPr>
        <w:pStyle w:val="ListParagraph"/>
        <w:numPr>
          <w:ilvl w:val="0"/>
          <w:numId w:val="54"/>
        </w:numPr>
      </w:pPr>
      <w:r>
        <w:t xml:space="preserve">On 6 November 2023, the Senate referred an </w:t>
      </w:r>
      <w:hyperlink r:id="rId25" w:history="1">
        <w:r w:rsidRPr="472F967E">
          <w:rPr>
            <w:rStyle w:val="Hyperlink"/>
          </w:rPr>
          <w:t>Inquiry into Menopause and Perimenopause</w:t>
        </w:r>
      </w:hyperlink>
      <w:r>
        <w:t xml:space="preserve"> to the Senate Community Affairs References Community for inquiry and report. The Inquiry resulted in 25 recommendations to improve the national approach towards women’s experience of perimenopause and menopause. </w:t>
      </w:r>
    </w:p>
    <w:p w14:paraId="1616D3CD" w14:textId="279F181E" w:rsidR="09C15767" w:rsidRDefault="09C15767" w:rsidP="472F967E">
      <w:pPr>
        <w:pStyle w:val="ListParagraph"/>
        <w:numPr>
          <w:ilvl w:val="0"/>
          <w:numId w:val="0"/>
        </w:numPr>
        <w:ind w:left="720"/>
      </w:pPr>
    </w:p>
    <w:p w14:paraId="3EFD9071" w14:textId="293404EF" w:rsidR="00492D65" w:rsidRDefault="00492D65" w:rsidP="00F9645E">
      <w:pPr>
        <w:pStyle w:val="ListParagraph"/>
        <w:numPr>
          <w:ilvl w:val="0"/>
          <w:numId w:val="54"/>
        </w:numPr>
      </w:pPr>
      <w:r>
        <w:t>The Australian Government approach to service-wide bargaining for common terms took place in 2023, with agencies commencing implementation throughout 2023-2024. A number of common conditions that impact the progress towards gender equality were introduced, including: flexible work, family and domestic violence support, respect at work, parental leave, lactation and breastfeeding support, higher duties allowance, and the us</w:t>
      </w:r>
      <w:r w:rsidR="7288F3C0">
        <w:t>e</w:t>
      </w:r>
      <w:r>
        <w:t xml:space="preserve"> of gender inclusive language in agency-level agreements.</w:t>
      </w:r>
    </w:p>
    <w:p w14:paraId="4273CA0B" w14:textId="726A7EFB" w:rsidR="472F967E" w:rsidRDefault="472F967E" w:rsidP="472F967E">
      <w:pPr>
        <w:pStyle w:val="ListParagraph"/>
        <w:numPr>
          <w:ilvl w:val="0"/>
          <w:numId w:val="0"/>
        </w:numPr>
        <w:ind w:left="720"/>
      </w:pPr>
    </w:p>
    <w:p w14:paraId="631C9399" w14:textId="6BA31EBA" w:rsidR="00492D65" w:rsidRDefault="00492D65" w:rsidP="00F9645E">
      <w:pPr>
        <w:pStyle w:val="ListParagraph"/>
        <w:numPr>
          <w:ilvl w:val="0"/>
          <w:numId w:val="54"/>
        </w:numPr>
      </w:pPr>
      <w:r>
        <w:t xml:space="preserve">The </w:t>
      </w:r>
      <w:hyperlink r:id="rId26" w:history="1">
        <w:r w:rsidRPr="472F967E">
          <w:rPr>
            <w:rStyle w:val="Hyperlink"/>
          </w:rPr>
          <w:t>Maternity Leave (Commonwealth Employees) Act 1973 Review</w:t>
        </w:r>
      </w:hyperlink>
      <w:r>
        <w:t xml:space="preserve"> was reviewed in 2023 for the first time in more than 40 years to provide evidence that the original Act no longer meets the requirements of current employees as they establish families and maintain careers in Commonwealth employment. The Government is considering the Review and its recommendations. </w:t>
      </w:r>
    </w:p>
    <w:p w14:paraId="5A57431A" w14:textId="14CDA93F" w:rsidR="00492D65" w:rsidRDefault="00492D65" w:rsidP="00492D65">
      <w:pPr>
        <w:pStyle w:val="Heading2"/>
      </w:pPr>
      <w:r>
        <w:t>Ongoing work to progress gender equality</w:t>
      </w:r>
    </w:p>
    <w:p w14:paraId="11CFFFE3" w14:textId="33A30919" w:rsidR="00492D65" w:rsidRDefault="5A8B553D" w:rsidP="00492D65">
      <w:r>
        <w:t xml:space="preserve">The Australian Public Service Gender Equality Strategy 2021-2026 Interim Evaluation (Interim Evaluation) reflects the ongoing commitment to progressing gender equality in the APS. The Interim Evaluation provides an informed, data-based assessment of each of the 6 overarching actions and 30 </w:t>
      </w:r>
      <w:r>
        <w:lastRenderedPageBreak/>
        <w:t xml:space="preserve">action areas, taken from document reviews, available administrative data, and a bespoke APS Gender Equality Strategy Survey (GES Survey). </w:t>
      </w:r>
    </w:p>
    <w:p w14:paraId="768F014E" w14:textId="0EBE1A07" w:rsidR="00492D65" w:rsidRDefault="5A8B553D" w:rsidP="00492D65">
      <w:r>
        <w:t xml:space="preserve">The Interim Evaluation reflects APS progress on Strategy initiatives over approximately 2 years, from the launch of the Strategy on 7 December 2021. It reports areas in which the Strategy has had the greatest impact in the first 2 years, agency challenges in implementing the Strategy, and areas of focus in which to progress gender equality in the years to come. The Interim Evaluation will be used by the APSC to understand opportunities to drive Strategy progress across the APS and assist individual agencies in areas of future focus.   </w:t>
      </w:r>
    </w:p>
    <w:p w14:paraId="4A565017" w14:textId="62438013" w:rsidR="00492D65" w:rsidRDefault="5A8B553D" w:rsidP="00492D65">
      <w:r>
        <w:t>The Interim Evaluation indicates that nearly all agencies were engaged with the Strategy and progress has been made against most of the Strategy’s thirty actions, including minimum standards.</w:t>
      </w:r>
    </w:p>
    <w:p w14:paraId="60B61336" w14:textId="088801DF" w:rsidR="00492D65" w:rsidRDefault="5A8B553D" w:rsidP="4E8B4F1C">
      <w:r>
        <w:t xml:space="preserve">The </w:t>
      </w:r>
      <w:r w:rsidR="08AC9B1F">
        <w:t>I</w:t>
      </w:r>
      <w:r>
        <w:t xml:space="preserve">nterim </w:t>
      </w:r>
      <w:r w:rsidR="1846FAC8">
        <w:t xml:space="preserve">Evaluation </w:t>
      </w:r>
      <w:r w:rsidR="028C6170">
        <w:t>also indicates that there is still an opportunity for further work. A</w:t>
      </w:r>
      <w:r w:rsidR="00492D65">
        <w:t xml:space="preserve">gencies have a responsibility to maintain momentum on progressing gender equality. This can be achieved by continuing to implement the Strategy, whilst remaining aware of changes and progress in our operating environment, both on a national scale and internally to the APS. </w:t>
      </w:r>
    </w:p>
    <w:p w14:paraId="440BE57E" w14:textId="65842465" w:rsidR="00492D65" w:rsidRDefault="00492D65" w:rsidP="00492D65">
      <w:r>
        <w:t xml:space="preserve">The flexibility built into the Strategy enables agencies to consider how they approach the actions and their implementation within their unique context. Agencies are able to identify levers that can progress the overall intent of the strategy to achieve gender equality. Agencies are encouraged to use the findings from </w:t>
      </w:r>
      <w:r w:rsidR="00B52402">
        <w:t xml:space="preserve">this </w:t>
      </w:r>
      <w:r>
        <w:t>report and consider the new and emerging gender equality matters across the strategic landscape, to identify, prioritise and implement those actions that may create a more gender equal organisation over rema</w:t>
      </w:r>
      <w:r w:rsidR="00F328C4">
        <w:t>ining 2</w:t>
      </w:r>
      <w:r>
        <w:t xml:space="preserve"> years of the Strategy. </w:t>
      </w:r>
    </w:p>
    <w:p w14:paraId="108F9505" w14:textId="40D12A00" w:rsidR="00B33B93" w:rsidRDefault="00492D65" w:rsidP="018A5CE4">
      <w:pPr>
        <w:rPr>
          <w:rFonts w:asciiTheme="majorHAnsi" w:eastAsiaTheme="minorEastAsia" w:hAnsiTheme="majorHAnsi" w:cstheme="majorBidi"/>
          <w:sz w:val="40"/>
          <w:szCs w:val="40"/>
          <w:lang w:eastAsia="en-AU"/>
        </w:rPr>
      </w:pPr>
      <w:r>
        <w:t xml:space="preserve">In taking this approach, </w:t>
      </w:r>
      <w:r w:rsidR="00B52402">
        <w:t>a</w:t>
      </w:r>
      <w:r>
        <w:t xml:space="preserve">gencies may also wish to consider matters identified as implementation challenges as part of </w:t>
      </w:r>
      <w:r w:rsidR="000D3560">
        <w:t>this report</w:t>
      </w:r>
      <w:r>
        <w:t>, including: the resources available to delivering diversity and inclusion, support from larger portfolio agencies to smaller agencies particularly where resources are lacking, and efforts to streamline implementation of actions across multiple diversity strategies where possible.</w:t>
      </w:r>
      <w:bookmarkStart w:id="72" w:name="_Toc165991642"/>
      <w:bookmarkStart w:id="73" w:name="_Toc166082940"/>
      <w:bookmarkStart w:id="74" w:name="_Toc166160304"/>
      <w:bookmarkStart w:id="75" w:name="_Toc166168003"/>
      <w:bookmarkStart w:id="76" w:name="_Toc168329157"/>
      <w:bookmarkStart w:id="77" w:name="_Toc168322814"/>
      <w:bookmarkStart w:id="78" w:name="_Toc168387930"/>
      <w:bookmarkStart w:id="79" w:name="_Toc168405585"/>
      <w:bookmarkStart w:id="80" w:name="_Toc168408623"/>
      <w:bookmarkStart w:id="81" w:name="_Toc168411024"/>
      <w:bookmarkStart w:id="82" w:name="_Toc168405884"/>
      <w:bookmarkStart w:id="83" w:name="_Toc168473692"/>
      <w:bookmarkStart w:id="84" w:name="_Toc168471590"/>
      <w:bookmarkStart w:id="85" w:name="_Toc168484650"/>
      <w:bookmarkStart w:id="86" w:name="_Toc168495119"/>
      <w:bookmarkStart w:id="87" w:name="_Toc168495568"/>
      <w:bookmarkStart w:id="88" w:name="_Toc169103236"/>
      <w:bookmarkStart w:id="89" w:name="_Toc169104710"/>
      <w:bookmarkStart w:id="90" w:name="_Toc169278426"/>
      <w:bookmarkStart w:id="91" w:name="_Toc169536865"/>
      <w:bookmarkStart w:id="92" w:name="_Toc169708618"/>
      <w:bookmarkStart w:id="93" w:name="_Toc170119662"/>
      <w:bookmarkStart w:id="94" w:name="_Toc170138045"/>
      <w:bookmarkStart w:id="95" w:name="_Toc170140118"/>
      <w:bookmarkStart w:id="96" w:name="_Toc181715716"/>
      <w:r w:rsidR="00B33B93" w:rsidRPr="018A5CE4">
        <w:rPr>
          <w:rFonts w:eastAsiaTheme="minorEastAsia"/>
          <w:lang w:eastAsia="en-AU"/>
        </w:rPr>
        <w:br w:type="page"/>
      </w:r>
    </w:p>
    <w:p w14:paraId="3FA99676" w14:textId="66BA34FC" w:rsidR="009243C2" w:rsidRDefault="009243C2" w:rsidP="009243C2">
      <w:pPr>
        <w:pStyle w:val="Heading1"/>
        <w:rPr>
          <w:rFonts w:eastAsiaTheme="minorEastAsia"/>
          <w:lang w:eastAsia="en-AU"/>
        </w:rPr>
      </w:pPr>
      <w:r w:rsidRPr="003C02EE">
        <w:rPr>
          <w:rFonts w:eastAsiaTheme="minorEastAsia"/>
          <w:lang w:eastAsia="en-AU"/>
        </w:rPr>
        <w:lastRenderedPageBreak/>
        <w:t>Background</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C1C8BC9" w14:textId="77777777" w:rsidR="00554774" w:rsidRDefault="009243C2" w:rsidP="00D320A2">
      <w:pPr>
        <w:rPr>
          <w:lang w:eastAsia="en-AU"/>
        </w:rPr>
      </w:pPr>
      <w:r w:rsidRPr="00315FAC">
        <w:t xml:space="preserve">The </w:t>
      </w:r>
      <w:hyperlink r:id="rId27" w:history="1">
        <w:r w:rsidRPr="00A84237">
          <w:rPr>
            <w:rStyle w:val="Hyperlink"/>
          </w:rPr>
          <w:t>Realising the benefit for all - Australian Public Service Gender Equality Strategy 2021-26</w:t>
        </w:r>
      </w:hyperlink>
      <w:r>
        <w:rPr>
          <w:rFonts w:ascii="Calibri Light" w:eastAsiaTheme="minorEastAsia" w:hAnsi="Calibri Light" w:cs="Calibri Light"/>
          <w:iCs/>
          <w:lang w:eastAsia="en-AU"/>
        </w:rPr>
        <w:t xml:space="preserve"> </w:t>
      </w:r>
      <w:r w:rsidRPr="00315FAC">
        <w:t xml:space="preserve">(the Strategy) is an essential part of the Australian Government’s commitment to gender equality. </w:t>
      </w:r>
      <w:r w:rsidR="000725BB">
        <w:t>T</w:t>
      </w:r>
      <w:r>
        <w:rPr>
          <w:lang w:eastAsia="en-AU"/>
        </w:rPr>
        <w:t xml:space="preserve">he Strategy builds on </w:t>
      </w:r>
      <w:r w:rsidRPr="00B15304">
        <w:rPr>
          <w:i/>
          <w:lang w:eastAsia="en-AU"/>
        </w:rPr>
        <w:t>Balancing the Future: APS Gender Equality Strategy 2016-2019 Strategy</w:t>
      </w:r>
      <w:r>
        <w:rPr>
          <w:lang w:eastAsia="en-AU"/>
        </w:rPr>
        <w:t>, which made significant progress to drive gender equality in our leadership and workforce</w:t>
      </w:r>
      <w:r w:rsidR="00E0767B">
        <w:rPr>
          <w:lang w:eastAsia="en-AU"/>
        </w:rPr>
        <w:t>.</w:t>
      </w:r>
      <w:r w:rsidR="00554774">
        <w:rPr>
          <w:lang w:eastAsia="en-AU"/>
        </w:rPr>
        <w:t xml:space="preserve"> </w:t>
      </w:r>
    </w:p>
    <w:p w14:paraId="2A27DE7B" w14:textId="3A409EE5" w:rsidR="009243C2" w:rsidRDefault="00217245" w:rsidP="00D320A2">
      <w:pPr>
        <w:rPr>
          <w:lang w:eastAsia="en-AU"/>
        </w:rPr>
      </w:pPr>
      <w:r>
        <w:rPr>
          <w:lang w:eastAsia="en-AU"/>
        </w:rPr>
        <w:t>T</w:t>
      </w:r>
      <w:r w:rsidR="009243C2">
        <w:rPr>
          <w:lang w:eastAsia="en-AU"/>
        </w:rPr>
        <w:t xml:space="preserve">he current Strategy </w:t>
      </w:r>
      <w:r>
        <w:rPr>
          <w:lang w:eastAsia="en-AU"/>
        </w:rPr>
        <w:t>continues</w:t>
      </w:r>
      <w:r w:rsidR="009243C2">
        <w:rPr>
          <w:lang w:eastAsia="en-AU"/>
        </w:rPr>
        <w:t xml:space="preserve"> to </w:t>
      </w:r>
      <w:r>
        <w:rPr>
          <w:lang w:eastAsia="en-AU"/>
        </w:rPr>
        <w:t>focus on reducing</w:t>
      </w:r>
      <w:r w:rsidR="009243C2">
        <w:rPr>
          <w:lang w:eastAsia="en-AU"/>
        </w:rPr>
        <w:t xml:space="preserve"> the gender pay gap, </w:t>
      </w:r>
      <w:r>
        <w:rPr>
          <w:lang w:eastAsia="en-AU"/>
        </w:rPr>
        <w:t xml:space="preserve">and aims to </w:t>
      </w:r>
      <w:r w:rsidR="009243C2">
        <w:rPr>
          <w:lang w:eastAsia="en-AU"/>
        </w:rPr>
        <w:t xml:space="preserve">embed inclusive and respectful workplaces, enhance the uptake of flexible work practices, shift </w:t>
      </w:r>
      <w:r w:rsidR="00A112D9">
        <w:rPr>
          <w:lang w:eastAsia="en-AU"/>
        </w:rPr>
        <w:t xml:space="preserve">gender </w:t>
      </w:r>
      <w:r w:rsidR="009243C2">
        <w:rPr>
          <w:lang w:eastAsia="en-AU"/>
        </w:rPr>
        <w:t>stereotypes</w:t>
      </w:r>
      <w:r w:rsidR="00554774">
        <w:rPr>
          <w:lang w:eastAsia="en-AU"/>
        </w:rPr>
        <w:t>,</w:t>
      </w:r>
      <w:r w:rsidR="009243C2">
        <w:rPr>
          <w:lang w:eastAsia="en-AU"/>
        </w:rPr>
        <w:t xml:space="preserve"> and progress leadership and accountability of gender equality.</w:t>
      </w:r>
    </w:p>
    <w:p w14:paraId="568EDDF6" w14:textId="08BE85D0" w:rsidR="009243C2" w:rsidRPr="00D320A2" w:rsidRDefault="009243C2" w:rsidP="00D320A2">
      <w:pPr>
        <w:rPr>
          <w:lang w:eastAsia="en-AU"/>
        </w:rPr>
      </w:pPr>
      <w:r w:rsidRPr="00D320A2">
        <w:rPr>
          <w:lang w:eastAsia="en-AU"/>
        </w:rPr>
        <w:t xml:space="preserve">The Strategy </w:t>
      </w:r>
      <w:r w:rsidR="00937BAD">
        <w:rPr>
          <w:lang w:eastAsia="en-AU"/>
        </w:rPr>
        <w:t xml:space="preserve">has </w:t>
      </w:r>
      <w:r w:rsidR="00B54D2D">
        <w:rPr>
          <w:lang w:eastAsia="en-AU"/>
        </w:rPr>
        <w:t>3</w:t>
      </w:r>
      <w:r w:rsidRPr="00D320A2">
        <w:rPr>
          <w:lang w:eastAsia="en-AU"/>
        </w:rPr>
        <w:t xml:space="preserve"> objectives:</w:t>
      </w:r>
    </w:p>
    <w:p w14:paraId="2F32852D" w14:textId="179E729C" w:rsidR="00D320A2" w:rsidRDefault="009243C2" w:rsidP="00F9645E">
      <w:pPr>
        <w:pStyle w:val="BulletLevel1"/>
        <w:numPr>
          <w:ilvl w:val="0"/>
          <w:numId w:val="51"/>
        </w:numPr>
        <w:rPr>
          <w:lang w:eastAsia="en-AU"/>
        </w:rPr>
      </w:pPr>
      <w:r w:rsidRPr="00D320A2">
        <w:rPr>
          <w:lang w:eastAsia="en-AU"/>
        </w:rPr>
        <w:t xml:space="preserve">To see leaders at all levels hold themselves and others to account for demonstrating gender equitable and inclusive behaviour. </w:t>
      </w:r>
    </w:p>
    <w:p w14:paraId="618B4590" w14:textId="1310FB2C" w:rsidR="00D320A2" w:rsidRDefault="009243C2" w:rsidP="00F9645E">
      <w:pPr>
        <w:pStyle w:val="BulletLevel1"/>
        <w:numPr>
          <w:ilvl w:val="0"/>
          <w:numId w:val="51"/>
        </w:numPr>
        <w:rPr>
          <w:lang w:eastAsia="en-AU"/>
        </w:rPr>
      </w:pPr>
      <w:r w:rsidRPr="00D320A2">
        <w:rPr>
          <w:lang w:eastAsia="en-AU"/>
        </w:rPr>
        <w:t xml:space="preserve">To shift gender norms, and normalise respectful workplaces and access to flexibility for all. </w:t>
      </w:r>
    </w:p>
    <w:p w14:paraId="38E15768" w14:textId="1BD73C30" w:rsidR="009243C2" w:rsidRPr="00D320A2" w:rsidRDefault="009243C2" w:rsidP="00F9645E">
      <w:pPr>
        <w:pStyle w:val="BulletLevel1"/>
        <w:numPr>
          <w:ilvl w:val="0"/>
          <w:numId w:val="51"/>
        </w:numPr>
        <w:rPr>
          <w:lang w:eastAsia="en-AU"/>
        </w:rPr>
      </w:pPr>
      <w:r w:rsidRPr="00D320A2">
        <w:rPr>
          <w:lang w:eastAsia="en-AU"/>
        </w:rPr>
        <w:t>To embed gender equality and inclusion in all that we do.</w:t>
      </w:r>
    </w:p>
    <w:p w14:paraId="1BA56CBD" w14:textId="7BBC8830" w:rsidR="009243C2" w:rsidRDefault="009243C2" w:rsidP="00937BAD">
      <w:pPr>
        <w:rPr>
          <w:lang w:eastAsia="en-AU"/>
        </w:rPr>
      </w:pPr>
      <w:r w:rsidRPr="00D320A2">
        <w:rPr>
          <w:lang w:eastAsia="en-AU"/>
        </w:rPr>
        <w:t>To achieve these obj</w:t>
      </w:r>
      <w:r>
        <w:rPr>
          <w:lang w:eastAsia="en-AU"/>
        </w:rPr>
        <w:t xml:space="preserve">ectives, the Strategy outlines </w:t>
      </w:r>
      <w:r w:rsidR="00B54D2D">
        <w:rPr>
          <w:lang w:eastAsia="en-AU"/>
        </w:rPr>
        <w:t>6</w:t>
      </w:r>
      <w:r w:rsidRPr="00D320A2">
        <w:rPr>
          <w:lang w:eastAsia="en-AU"/>
        </w:rPr>
        <w:t xml:space="preserve"> </w:t>
      </w:r>
      <w:r w:rsidR="00217245">
        <w:rPr>
          <w:lang w:eastAsia="en-AU"/>
        </w:rPr>
        <w:t>overarching</w:t>
      </w:r>
      <w:r w:rsidRPr="00D320A2">
        <w:rPr>
          <w:lang w:eastAsia="en-AU"/>
        </w:rPr>
        <w:t xml:space="preserve"> action areas</w:t>
      </w:r>
      <w:r w:rsidR="00217245">
        <w:rPr>
          <w:lang w:eastAsia="en-AU"/>
        </w:rPr>
        <w:t xml:space="preserve"> with a combined total of 30 </w:t>
      </w:r>
      <w:r w:rsidRPr="00D320A2">
        <w:rPr>
          <w:lang w:eastAsia="en-AU"/>
        </w:rPr>
        <w:t xml:space="preserve">action areas for </w:t>
      </w:r>
      <w:r w:rsidR="00217245">
        <w:rPr>
          <w:lang w:eastAsia="en-AU"/>
        </w:rPr>
        <w:t>implementation. These are:</w:t>
      </w:r>
    </w:p>
    <w:p w14:paraId="4C007F1F" w14:textId="77777777" w:rsidR="004E3232" w:rsidRPr="007358AC" w:rsidRDefault="009243C2" w:rsidP="007F4E93">
      <w:pPr>
        <w:pStyle w:val="ListParagraph"/>
      </w:pPr>
      <w:r w:rsidRPr="007358AC">
        <w:t>Leadership and accountability that progresses gender equality through individual and collective action.</w:t>
      </w:r>
    </w:p>
    <w:p w14:paraId="46A0655F" w14:textId="77777777" w:rsidR="004E3232" w:rsidRPr="007358AC" w:rsidRDefault="009243C2" w:rsidP="007F4E93">
      <w:pPr>
        <w:pStyle w:val="ListParagraph"/>
      </w:pPr>
      <w:r w:rsidRPr="007358AC">
        <w:t xml:space="preserve">Respectful workplaces and empowered people that prioritise our people’s safety and wellbeing. </w:t>
      </w:r>
    </w:p>
    <w:p w14:paraId="08D94C1F" w14:textId="77777777" w:rsidR="004E3232" w:rsidRPr="007358AC" w:rsidRDefault="009243C2" w:rsidP="007F4E93">
      <w:pPr>
        <w:pStyle w:val="ListParagraph"/>
      </w:pPr>
      <w:r w:rsidRPr="007358AC">
        <w:t>Shifting gender stereotypes to support the career and life choices of our people.</w:t>
      </w:r>
    </w:p>
    <w:p w14:paraId="61C95B8E" w14:textId="77777777" w:rsidR="004E3232" w:rsidRPr="007358AC" w:rsidRDefault="009243C2" w:rsidP="007F4E93">
      <w:pPr>
        <w:pStyle w:val="ListParagraph"/>
      </w:pPr>
      <w:r w:rsidRPr="007358AC">
        <w:t xml:space="preserve">Flexible ways of working to give our people more choice and enhance their contributions at work. </w:t>
      </w:r>
    </w:p>
    <w:p w14:paraId="595368F4" w14:textId="77777777" w:rsidR="004E3232" w:rsidRPr="007358AC" w:rsidRDefault="009243C2" w:rsidP="007F4E93">
      <w:pPr>
        <w:pStyle w:val="ListParagraph"/>
      </w:pPr>
      <w:r w:rsidRPr="007358AC">
        <w:t xml:space="preserve">Gender data that ensures our efforts are informed by the evidence base and progress is visible. </w:t>
      </w:r>
    </w:p>
    <w:p w14:paraId="36C96D1E" w14:textId="45697BE8" w:rsidR="009243C2" w:rsidRPr="007358AC" w:rsidRDefault="009243C2" w:rsidP="007F4E93">
      <w:pPr>
        <w:pStyle w:val="ListParagraph"/>
        <w:rPr>
          <w:rFonts w:eastAsiaTheme="minorEastAsia"/>
        </w:rPr>
      </w:pPr>
      <w:r w:rsidRPr="007358AC">
        <w:t>Leveraging our external influence to champion gender equality in our everyday work.</w:t>
      </w:r>
    </w:p>
    <w:p w14:paraId="63892B7D" w14:textId="49606D21" w:rsidR="009243C2" w:rsidRDefault="009243C2" w:rsidP="009243C2">
      <w:pPr>
        <w:pStyle w:val="Heading1"/>
        <w:rPr>
          <w:rFonts w:eastAsiaTheme="minorEastAsia"/>
          <w:lang w:eastAsia="en-AU"/>
        </w:rPr>
      </w:pPr>
      <w:bookmarkStart w:id="97" w:name="_Toc165991643"/>
      <w:bookmarkStart w:id="98" w:name="_Toc166082941"/>
      <w:bookmarkStart w:id="99" w:name="_Toc166160305"/>
      <w:bookmarkStart w:id="100" w:name="_Toc166168004"/>
      <w:bookmarkStart w:id="101" w:name="_Toc168329158"/>
      <w:bookmarkStart w:id="102" w:name="_Toc168322815"/>
      <w:bookmarkStart w:id="103" w:name="_Toc168387931"/>
      <w:bookmarkStart w:id="104" w:name="_Toc168405586"/>
      <w:bookmarkStart w:id="105" w:name="_Toc168408624"/>
      <w:bookmarkStart w:id="106" w:name="_Toc168411025"/>
      <w:bookmarkStart w:id="107" w:name="_Toc168405885"/>
      <w:bookmarkStart w:id="108" w:name="_Toc168473693"/>
      <w:bookmarkStart w:id="109" w:name="_Toc168471591"/>
      <w:bookmarkStart w:id="110" w:name="_Toc168484651"/>
      <w:bookmarkStart w:id="111" w:name="_Toc168495120"/>
      <w:bookmarkStart w:id="112" w:name="_Toc168495569"/>
      <w:bookmarkStart w:id="113" w:name="_Toc169103237"/>
      <w:bookmarkStart w:id="114" w:name="_Toc169104711"/>
      <w:bookmarkStart w:id="115" w:name="_Toc169278427"/>
      <w:bookmarkStart w:id="116" w:name="_Toc169536866"/>
      <w:bookmarkStart w:id="117" w:name="_Toc169708619"/>
      <w:bookmarkStart w:id="118" w:name="_Toc170119663"/>
      <w:bookmarkStart w:id="119" w:name="_Toc170138046"/>
      <w:bookmarkStart w:id="120" w:name="_Toc170140119"/>
      <w:bookmarkStart w:id="121" w:name="_Toc181715717"/>
      <w:r w:rsidRPr="009243C2">
        <w:rPr>
          <w:rFonts w:eastAsiaTheme="minorEastAsia"/>
          <w:lang w:eastAsia="en-AU"/>
        </w:rPr>
        <w:t>Purpose and scope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AF0D1DB" w14:textId="09877095" w:rsidR="00D03064" w:rsidRDefault="009243C2" w:rsidP="00623833">
      <w:r w:rsidRPr="00623833">
        <w:t>This interim evaluation aims to review and summarise</w:t>
      </w:r>
      <w:r w:rsidR="00A50052">
        <w:t xml:space="preserve"> whole of APS</w:t>
      </w:r>
      <w:r w:rsidRPr="00623833">
        <w:t xml:space="preserve"> </w:t>
      </w:r>
      <w:r w:rsidR="00EE17E9">
        <w:t>progress</w:t>
      </w:r>
      <w:r w:rsidRPr="00623833">
        <w:t xml:space="preserve"> on Strategy initi</w:t>
      </w:r>
      <w:r w:rsidR="00A50052">
        <w:t>atives</w:t>
      </w:r>
      <w:r w:rsidRPr="00623833">
        <w:t xml:space="preserve"> ov</w:t>
      </w:r>
      <w:r w:rsidR="00A27343" w:rsidRPr="00623833">
        <w:t xml:space="preserve">er </w:t>
      </w:r>
      <w:r w:rsidR="00EE17E9">
        <w:t xml:space="preserve">approximately </w:t>
      </w:r>
      <w:r w:rsidR="00B54D2D">
        <w:t>2</w:t>
      </w:r>
      <w:r w:rsidR="003F55F7">
        <w:t xml:space="preserve"> years,</w:t>
      </w:r>
      <w:r w:rsidR="00A27343" w:rsidRPr="00623833">
        <w:t xml:space="preserve"> from the </w:t>
      </w:r>
      <w:r w:rsidR="003F55F7">
        <w:t xml:space="preserve">launch of the </w:t>
      </w:r>
      <w:r w:rsidRPr="00623833">
        <w:t xml:space="preserve">Strategy </w:t>
      </w:r>
      <w:r w:rsidR="00EE17E9">
        <w:t>o</w:t>
      </w:r>
      <w:r w:rsidR="00F602E3">
        <w:t xml:space="preserve">n </w:t>
      </w:r>
      <w:r w:rsidR="00FB47F0" w:rsidRPr="00623833">
        <w:t>7 December</w:t>
      </w:r>
      <w:r w:rsidRPr="00623833">
        <w:t xml:space="preserve"> 2021 </w:t>
      </w:r>
      <w:r w:rsidR="00AD4334">
        <w:t xml:space="preserve">up </w:t>
      </w:r>
      <w:r w:rsidRPr="00623833">
        <w:t>to</w:t>
      </w:r>
      <w:r w:rsidR="00AD4334">
        <w:t xml:space="preserve"> the latest available data</w:t>
      </w:r>
      <w:r w:rsidR="00A27343" w:rsidRPr="00623833">
        <w:t xml:space="preserve">. </w:t>
      </w:r>
      <w:r w:rsidR="003F55F7">
        <w:t>M</w:t>
      </w:r>
      <w:r w:rsidR="00AD4334">
        <w:t xml:space="preserve">any comparisons are made between </w:t>
      </w:r>
      <w:r w:rsidR="0003551D">
        <w:t xml:space="preserve">calendar years </w:t>
      </w:r>
      <w:r w:rsidR="003F55F7">
        <w:t>2021 and 2023</w:t>
      </w:r>
      <w:r w:rsidR="00AD4334">
        <w:t xml:space="preserve"> throughout the report.</w:t>
      </w:r>
      <w:r w:rsidR="00A27343" w:rsidRPr="00623833">
        <w:t xml:space="preserve"> </w:t>
      </w:r>
    </w:p>
    <w:p w14:paraId="4514BD4F" w14:textId="0590758D" w:rsidR="009243C2" w:rsidRPr="00623833" w:rsidRDefault="00A27343" w:rsidP="00623833">
      <w:r w:rsidRPr="00623833">
        <w:t>This assessment</w:t>
      </w:r>
      <w:r w:rsidR="009243C2" w:rsidRPr="00623833">
        <w:t xml:space="preserve"> will </w:t>
      </w:r>
      <w:r w:rsidR="00352C7C">
        <w:t>also</w:t>
      </w:r>
      <w:r w:rsidR="009243C2" w:rsidRPr="00623833">
        <w:t xml:space="preserve"> highlight opportunities </w:t>
      </w:r>
      <w:r w:rsidRPr="00623833">
        <w:t>to drive Strategy progress to 2026</w:t>
      </w:r>
      <w:r w:rsidR="009243C2" w:rsidRPr="00623833">
        <w:t xml:space="preserve">. Case studies and agency achievements </w:t>
      </w:r>
      <w:r w:rsidR="00352C7C">
        <w:t>have been highlighted</w:t>
      </w:r>
      <w:r w:rsidR="009243C2" w:rsidRPr="00623833">
        <w:t xml:space="preserve"> to provide examples </w:t>
      </w:r>
      <w:r w:rsidR="002E2A39">
        <w:t>for other agencies to consider</w:t>
      </w:r>
      <w:r w:rsidR="009243C2" w:rsidRPr="00623833">
        <w:t>.</w:t>
      </w:r>
    </w:p>
    <w:p w14:paraId="0156710B" w14:textId="6EABCAEE" w:rsidR="009243C2" w:rsidRPr="009243C2" w:rsidRDefault="009243C2" w:rsidP="00B61704">
      <w:pPr>
        <w:pStyle w:val="Heading1"/>
        <w:rPr>
          <w:lang w:eastAsia="en-AU"/>
        </w:rPr>
      </w:pPr>
      <w:bookmarkStart w:id="122" w:name="_Toc165991644"/>
      <w:bookmarkStart w:id="123" w:name="_Toc166082942"/>
      <w:bookmarkStart w:id="124" w:name="_Toc166160306"/>
      <w:bookmarkStart w:id="125" w:name="_Toc166168005"/>
      <w:bookmarkStart w:id="126" w:name="_Toc168329159"/>
      <w:bookmarkStart w:id="127" w:name="_Toc168322816"/>
      <w:bookmarkStart w:id="128" w:name="_Toc168387932"/>
      <w:bookmarkStart w:id="129" w:name="_Toc168405587"/>
      <w:bookmarkStart w:id="130" w:name="_Toc168408625"/>
      <w:bookmarkStart w:id="131" w:name="_Toc168411026"/>
      <w:bookmarkStart w:id="132" w:name="_Toc168405886"/>
      <w:bookmarkStart w:id="133" w:name="_Toc168473694"/>
      <w:bookmarkStart w:id="134" w:name="_Toc168471592"/>
      <w:bookmarkStart w:id="135" w:name="_Toc168484652"/>
      <w:bookmarkStart w:id="136" w:name="_Toc168495121"/>
      <w:bookmarkStart w:id="137" w:name="_Toc168495570"/>
      <w:bookmarkStart w:id="138" w:name="_Toc169103238"/>
      <w:bookmarkStart w:id="139" w:name="_Toc169104712"/>
      <w:bookmarkStart w:id="140" w:name="_Toc169278428"/>
      <w:bookmarkStart w:id="141" w:name="_Toc169536867"/>
      <w:bookmarkStart w:id="142" w:name="_Toc169708620"/>
      <w:bookmarkStart w:id="143" w:name="_Toc170119664"/>
      <w:bookmarkStart w:id="144" w:name="_Toc170138047"/>
      <w:bookmarkStart w:id="145" w:name="_Toc170140120"/>
      <w:bookmarkStart w:id="146" w:name="_Toc181715718"/>
      <w:r>
        <w:rPr>
          <w:rFonts w:eastAsiaTheme="minorEastAsia"/>
          <w:lang w:eastAsia="en-AU"/>
        </w:rPr>
        <w:t>Methodology</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7E1C255" w14:textId="3FF317F2" w:rsidR="00B61704" w:rsidRPr="00B61704" w:rsidRDefault="00B61704" w:rsidP="00B61704">
      <w:pPr>
        <w:pStyle w:val="APSCBlocktext"/>
        <w:rPr>
          <w:rFonts w:asciiTheme="minorHAnsi" w:eastAsiaTheme="minorHAnsi" w:hAnsiTheme="minorHAnsi" w:cstheme="minorBidi"/>
          <w:iCs w:val="0"/>
          <w:color w:val="000000" w:themeColor="text1"/>
          <w:sz w:val="20"/>
          <w:lang w:eastAsia="en-US"/>
        </w:rPr>
      </w:pPr>
      <w:r w:rsidRPr="00B61704">
        <w:rPr>
          <w:rFonts w:asciiTheme="minorHAnsi" w:eastAsiaTheme="minorHAnsi" w:hAnsiTheme="minorHAnsi" w:cstheme="minorBidi"/>
          <w:iCs w:val="0"/>
          <w:color w:val="000000" w:themeColor="text1"/>
          <w:sz w:val="20"/>
          <w:lang w:eastAsia="en-US"/>
        </w:rPr>
        <w:t>This interim evaluation</w:t>
      </w:r>
      <w:r w:rsidR="00E81A6A">
        <w:rPr>
          <w:rFonts w:asciiTheme="minorHAnsi" w:eastAsiaTheme="minorHAnsi" w:hAnsiTheme="minorHAnsi" w:cstheme="minorBidi"/>
          <w:iCs w:val="0"/>
          <w:color w:val="000000" w:themeColor="text1"/>
          <w:sz w:val="20"/>
          <w:lang w:eastAsia="en-US"/>
        </w:rPr>
        <w:t xml:space="preserve"> relied on the following</w:t>
      </w:r>
      <w:r w:rsidRPr="00B61704">
        <w:rPr>
          <w:rFonts w:asciiTheme="minorHAnsi" w:eastAsiaTheme="minorHAnsi" w:hAnsiTheme="minorHAnsi" w:cstheme="minorBidi"/>
          <w:iCs w:val="0"/>
          <w:color w:val="000000" w:themeColor="text1"/>
          <w:sz w:val="20"/>
          <w:lang w:eastAsia="en-US"/>
        </w:rPr>
        <w:t>:</w:t>
      </w:r>
    </w:p>
    <w:p w14:paraId="2D57E1FE" w14:textId="0B39D696" w:rsidR="00B61704" w:rsidRPr="00B61704" w:rsidRDefault="00515A09" w:rsidP="00F9645E">
      <w:pPr>
        <w:pStyle w:val="BulletLevel1"/>
        <w:numPr>
          <w:ilvl w:val="0"/>
          <w:numId w:val="45"/>
        </w:numPr>
      </w:pPr>
      <w:r>
        <w:t>a</w:t>
      </w:r>
      <w:r w:rsidR="00B61704" w:rsidRPr="006A04BC">
        <w:t xml:space="preserve"> </w:t>
      </w:r>
      <w:r w:rsidR="00B61704" w:rsidRPr="006A04BC">
        <w:rPr>
          <w:rFonts w:eastAsiaTheme="minorEastAsia"/>
        </w:rPr>
        <w:t>document review</w:t>
      </w:r>
      <w:r w:rsidR="00B61704" w:rsidRPr="00E5068B">
        <w:rPr>
          <w:rFonts w:eastAsiaTheme="minorEastAsia" w:cs="Calibri Light"/>
          <w:iCs/>
        </w:rPr>
        <w:t xml:space="preserve"> of known </w:t>
      </w:r>
      <w:r w:rsidR="005877A9">
        <w:rPr>
          <w:rFonts w:eastAsiaTheme="minorEastAsia" w:cs="Calibri Light"/>
          <w:iCs/>
        </w:rPr>
        <w:t>initiatives</w:t>
      </w:r>
      <w:r w:rsidR="00B61704" w:rsidRPr="00E5068B">
        <w:rPr>
          <w:rFonts w:eastAsiaTheme="minorEastAsia" w:cs="Calibri Light"/>
          <w:iCs/>
        </w:rPr>
        <w:t>, progress or actions taken by APS departments or agenc</w:t>
      </w:r>
      <w:r w:rsidR="00B61704">
        <w:rPr>
          <w:rFonts w:eastAsiaTheme="minorEastAsia" w:cs="Calibri Light"/>
          <w:iCs/>
        </w:rPr>
        <w:t>ies to improve gender equality within the APS</w:t>
      </w:r>
    </w:p>
    <w:p w14:paraId="6F1CEA9F" w14:textId="0A4FA7C8" w:rsidR="00B61704" w:rsidRPr="00B61704" w:rsidRDefault="00515A09" w:rsidP="00F9645E">
      <w:pPr>
        <w:pStyle w:val="BulletLevel1"/>
        <w:numPr>
          <w:ilvl w:val="0"/>
          <w:numId w:val="45"/>
        </w:numPr>
      </w:pPr>
      <w:r>
        <w:rPr>
          <w:rFonts w:eastAsiaTheme="minorEastAsia" w:cs="Calibri Light"/>
        </w:rPr>
        <w:lastRenderedPageBreak/>
        <w:t>a</w:t>
      </w:r>
      <w:r w:rsidR="00B61704" w:rsidRPr="006A04BC">
        <w:rPr>
          <w:rFonts w:eastAsiaTheme="minorEastAsia" w:cs="Calibri Light"/>
        </w:rPr>
        <w:t xml:space="preserve">nalysis of available administrative and survey </w:t>
      </w:r>
      <w:r w:rsidR="00B61704" w:rsidRPr="006A04BC">
        <w:rPr>
          <w:rFonts w:eastAsiaTheme="minorEastAsia"/>
        </w:rPr>
        <w:t>data sources</w:t>
      </w:r>
      <w:r w:rsidR="00B61704" w:rsidRPr="00E5068B">
        <w:rPr>
          <w:rFonts w:eastAsiaTheme="minorEastAsia" w:cs="Calibri Light"/>
          <w:iCs/>
        </w:rPr>
        <w:t xml:space="preserve"> including </w:t>
      </w:r>
      <w:r w:rsidR="003A0B5C">
        <w:rPr>
          <w:rFonts w:eastAsiaTheme="minorEastAsia" w:cs="Calibri Light"/>
          <w:iCs/>
        </w:rPr>
        <w:t>APSED</w:t>
      </w:r>
      <w:r w:rsidR="00B61704" w:rsidRPr="00E5068B">
        <w:rPr>
          <w:rFonts w:eastAsiaTheme="minorEastAsia" w:cs="Calibri Light"/>
          <w:iCs/>
        </w:rPr>
        <w:t xml:space="preserve">, </w:t>
      </w:r>
      <w:r w:rsidR="00B61704">
        <w:rPr>
          <w:rFonts w:eastAsiaTheme="minorEastAsia" w:cs="Calibri Light"/>
          <w:iCs/>
        </w:rPr>
        <w:t xml:space="preserve">APS Remuneration Survey, </w:t>
      </w:r>
      <w:r w:rsidR="00B61704" w:rsidRPr="00E5068B">
        <w:rPr>
          <w:rFonts w:eastAsiaTheme="minorEastAsia" w:cs="Calibri Light"/>
          <w:iCs/>
        </w:rPr>
        <w:t>APS Employee Census</w:t>
      </w:r>
      <w:r w:rsidR="00023795">
        <w:rPr>
          <w:rFonts w:eastAsiaTheme="minorEastAsia" w:cs="Calibri Light"/>
          <w:iCs/>
        </w:rPr>
        <w:t>,</w:t>
      </w:r>
      <w:r w:rsidR="00817F13">
        <w:rPr>
          <w:rFonts w:eastAsiaTheme="minorEastAsia" w:cs="Calibri Light"/>
          <w:iCs/>
        </w:rPr>
        <w:t xml:space="preserve"> and</w:t>
      </w:r>
      <w:r w:rsidR="00B61704">
        <w:rPr>
          <w:rFonts w:eastAsiaTheme="minorEastAsia" w:cs="Calibri Light"/>
          <w:iCs/>
        </w:rPr>
        <w:t xml:space="preserve"> APS Agency Survey</w:t>
      </w:r>
    </w:p>
    <w:p w14:paraId="771234B1" w14:textId="3C54A8D0" w:rsidR="00B61704" w:rsidRDefault="00515A09" w:rsidP="00F9645E">
      <w:pPr>
        <w:pStyle w:val="BulletLevel1"/>
        <w:numPr>
          <w:ilvl w:val="0"/>
          <w:numId w:val="45"/>
        </w:numPr>
      </w:pPr>
      <w:r>
        <w:t>a</w:t>
      </w:r>
      <w:r w:rsidR="00B61704" w:rsidRPr="006A04BC">
        <w:t xml:space="preserve"> </w:t>
      </w:r>
      <w:r w:rsidR="00B61704" w:rsidRPr="018A5CE4">
        <w:rPr>
          <w:rFonts w:eastAsiaTheme="minorEastAsia" w:cs="Calibri Light"/>
        </w:rPr>
        <w:t xml:space="preserve">bespoke </w:t>
      </w:r>
      <w:r w:rsidR="008866BC" w:rsidRPr="018A5CE4">
        <w:rPr>
          <w:rFonts w:eastAsiaTheme="minorEastAsia" w:cs="Calibri Light"/>
        </w:rPr>
        <w:t xml:space="preserve">APS </w:t>
      </w:r>
      <w:r w:rsidR="00B61704" w:rsidRPr="018A5CE4">
        <w:rPr>
          <w:rFonts w:eastAsiaTheme="minorEastAsia" w:cs="Calibri Light"/>
        </w:rPr>
        <w:t xml:space="preserve">Gender Equality Strategy </w:t>
      </w:r>
      <w:r w:rsidR="00BC63AF" w:rsidRPr="018A5CE4">
        <w:rPr>
          <w:rFonts w:eastAsiaTheme="minorEastAsia" w:cs="Calibri Light"/>
        </w:rPr>
        <w:t>S</w:t>
      </w:r>
      <w:r w:rsidR="00B61704" w:rsidRPr="018A5CE4">
        <w:rPr>
          <w:rFonts w:eastAsiaTheme="minorEastAsia" w:cs="Calibri Light"/>
        </w:rPr>
        <w:t>urvey</w:t>
      </w:r>
      <w:r w:rsidR="00E81A6A" w:rsidRPr="018A5CE4">
        <w:rPr>
          <w:rFonts w:eastAsiaTheme="minorEastAsia" w:cs="Calibri Light"/>
        </w:rPr>
        <w:t>,</w:t>
      </w:r>
      <w:r w:rsidR="00B61704" w:rsidRPr="018A5CE4">
        <w:rPr>
          <w:rFonts w:eastAsiaTheme="minorEastAsia" w:cs="Calibri Light"/>
        </w:rPr>
        <w:t xml:space="preserve"> developed to capture additional information that could not be obtained fr</w:t>
      </w:r>
      <w:r w:rsidR="00F355F6" w:rsidRPr="018A5CE4">
        <w:rPr>
          <w:rFonts w:eastAsiaTheme="minorEastAsia" w:cs="Calibri Light"/>
        </w:rPr>
        <w:t>om any known data sources</w:t>
      </w:r>
      <w:r w:rsidR="00E81A6A" w:rsidRPr="018A5CE4">
        <w:rPr>
          <w:rStyle w:val="FootnoteReference"/>
          <w:rFonts w:eastAsiaTheme="minorEastAsia" w:cs="Calibri Light"/>
        </w:rPr>
        <w:footnoteReference w:id="4"/>
      </w:r>
    </w:p>
    <w:p w14:paraId="7938AD66" w14:textId="70CE7B42" w:rsidR="00817F13" w:rsidRDefault="00393D86" w:rsidP="00F9645E">
      <w:pPr>
        <w:pStyle w:val="BulletLevel1"/>
        <w:numPr>
          <w:ilvl w:val="0"/>
          <w:numId w:val="45"/>
        </w:numPr>
      </w:pPr>
      <w:r>
        <w:t>APSC research into the APS gender pay gap</w:t>
      </w:r>
      <w:r w:rsidR="00515A09">
        <w:t>.</w:t>
      </w:r>
      <w:r>
        <w:rPr>
          <w:rStyle w:val="FootnoteReference"/>
        </w:rPr>
        <w:footnoteReference w:id="5"/>
      </w:r>
    </w:p>
    <w:p w14:paraId="07548538" w14:textId="53549D3A" w:rsidR="000F771C" w:rsidRDefault="00515A09" w:rsidP="00386848">
      <w:r>
        <w:t>In terms of limitations, d</w:t>
      </w:r>
      <w:r w:rsidR="001934F2">
        <w:t>ue to insufficient baseline data, some</w:t>
      </w:r>
      <w:r w:rsidR="001D1D89">
        <w:t xml:space="preserve"> measurements could not</w:t>
      </w:r>
      <w:r w:rsidR="001934F2">
        <w:t xml:space="preserve"> be compared</w:t>
      </w:r>
      <w:r w:rsidR="000F771C" w:rsidRPr="00BE1B9B">
        <w:t xml:space="preserve"> to</w:t>
      </w:r>
      <w:r w:rsidR="001934F2">
        <w:t xml:space="preserve"> the</w:t>
      </w:r>
      <w:r w:rsidR="00BE1B9B" w:rsidRPr="00BE1B9B">
        <w:t xml:space="preserve"> start of the </w:t>
      </w:r>
      <w:r w:rsidR="009F6890">
        <w:t>S</w:t>
      </w:r>
      <w:r w:rsidR="00BE1B9B" w:rsidRPr="00BE1B9B">
        <w:t>trategy</w:t>
      </w:r>
      <w:r w:rsidR="00A94A56">
        <w:t xml:space="preserve"> to determine if progress had been made</w:t>
      </w:r>
      <w:r w:rsidR="000F771C" w:rsidRPr="00BE1B9B">
        <w:t>.</w:t>
      </w:r>
      <w:r w:rsidR="001934F2">
        <w:t xml:space="preserve"> With </w:t>
      </w:r>
      <w:r w:rsidR="00A94A56">
        <w:t xml:space="preserve">the </w:t>
      </w:r>
      <w:r w:rsidR="001934F2">
        <w:t>additional information</w:t>
      </w:r>
      <w:r w:rsidR="00BE1B9B">
        <w:t xml:space="preserve"> collected in the GES </w:t>
      </w:r>
      <w:r w:rsidR="00593AB7">
        <w:t>Survey</w:t>
      </w:r>
      <w:r w:rsidR="00A94A56">
        <w:t xml:space="preserve">, a greater number of </w:t>
      </w:r>
      <w:r w:rsidR="001934F2">
        <w:t>comparisons</w:t>
      </w:r>
      <w:r w:rsidR="00BE1B9B">
        <w:t xml:space="preserve"> will be </w:t>
      </w:r>
      <w:r w:rsidR="001934F2">
        <w:t>possible</w:t>
      </w:r>
      <w:r w:rsidR="00BE1B9B">
        <w:t xml:space="preserve"> at the final evaluation.</w:t>
      </w:r>
    </w:p>
    <w:p w14:paraId="4675A3CF" w14:textId="43E3955B" w:rsidR="003203AA" w:rsidRDefault="00515A09" w:rsidP="00386848">
      <w:pPr>
        <w:rPr>
          <w:rFonts w:asciiTheme="majorHAnsi" w:eastAsiaTheme="majorEastAsia" w:hAnsiTheme="majorHAnsi" w:cstheme="majorBidi"/>
          <w:sz w:val="52"/>
          <w:szCs w:val="32"/>
        </w:rPr>
      </w:pPr>
      <w:r>
        <w:t xml:space="preserve">In addition, </w:t>
      </w:r>
      <w:r w:rsidR="00BE1B9B">
        <w:t xml:space="preserve">4 of 97 APS agencies with greater than 20 employees did not participate in the GES </w:t>
      </w:r>
      <w:r w:rsidR="00593AB7">
        <w:t>Survey</w:t>
      </w:r>
      <w:r w:rsidR="00BE1B9B">
        <w:t>.</w:t>
      </w:r>
      <w:r w:rsidR="00F602E3">
        <w:t xml:space="preserve"> Three were extra small agencies (less than 100 employees) and one was a medium agency (251-1,000 employees).</w:t>
      </w:r>
      <w:bookmarkStart w:id="147" w:name="_Toc165991647"/>
      <w:bookmarkStart w:id="148" w:name="_Toc166082945"/>
      <w:bookmarkStart w:id="149" w:name="_Toc166160309"/>
      <w:bookmarkStart w:id="150" w:name="_Toc166168008"/>
      <w:bookmarkStart w:id="151" w:name="_Toc168329162"/>
      <w:bookmarkStart w:id="152" w:name="_Toc168322819"/>
      <w:bookmarkStart w:id="153" w:name="_Toc168387935"/>
      <w:bookmarkStart w:id="154" w:name="_Toc168405590"/>
      <w:bookmarkStart w:id="155" w:name="_Toc168408628"/>
      <w:bookmarkStart w:id="156" w:name="_Toc168411029"/>
      <w:bookmarkStart w:id="157" w:name="_Toc168405889"/>
      <w:bookmarkStart w:id="158" w:name="_Toc168473697"/>
      <w:bookmarkStart w:id="159" w:name="_Toc168471595"/>
      <w:bookmarkStart w:id="160" w:name="_Toc168484655"/>
      <w:bookmarkStart w:id="161" w:name="_Toc168495124"/>
      <w:bookmarkStart w:id="162" w:name="_Toc168495573"/>
      <w:bookmarkStart w:id="163" w:name="_Toc169103241"/>
      <w:bookmarkStart w:id="164" w:name="_Toc169104715"/>
      <w:bookmarkStart w:id="165" w:name="_Toc169278431"/>
      <w:bookmarkStart w:id="166" w:name="_Toc169536870"/>
      <w:r w:rsidR="008506DA">
        <w:t xml:space="preserve"> The proportion of employees engaged within these agencies equated to 0.3% of the APS. </w:t>
      </w:r>
      <w:r w:rsidR="003203AA">
        <w:br w:type="page"/>
      </w:r>
    </w:p>
    <w:p w14:paraId="279E2352" w14:textId="70E9C5D2" w:rsidR="00FC5077" w:rsidRDefault="00166EE6" w:rsidP="004E3232">
      <w:pPr>
        <w:pStyle w:val="Sectionheading"/>
      </w:pPr>
      <w:bookmarkStart w:id="167" w:name="_Toc169708621"/>
      <w:bookmarkStart w:id="168" w:name="_Toc170119665"/>
      <w:bookmarkStart w:id="169" w:name="_Toc170138048"/>
      <w:bookmarkStart w:id="170" w:name="_Toc170140121"/>
      <w:bookmarkStart w:id="171" w:name="_Toc181715719"/>
      <w:r>
        <w:lastRenderedPageBreak/>
        <w:t>F</w:t>
      </w:r>
      <w:r w:rsidR="00B61704">
        <w:t>indings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7D7C418" w14:textId="0C93E5A6" w:rsidR="002760BC" w:rsidRDefault="002760BC" w:rsidP="00F82036">
      <w:pPr>
        <w:pStyle w:val="Heading1"/>
      </w:pPr>
      <w:bookmarkStart w:id="172" w:name="_Toc168329163"/>
      <w:bookmarkStart w:id="173" w:name="_Toc168322820"/>
      <w:bookmarkStart w:id="174" w:name="_Toc168387936"/>
      <w:bookmarkStart w:id="175" w:name="_Toc168405591"/>
      <w:bookmarkStart w:id="176" w:name="_Toc168408629"/>
      <w:bookmarkStart w:id="177" w:name="_Toc168411030"/>
      <w:bookmarkStart w:id="178" w:name="_Toc168405890"/>
      <w:bookmarkStart w:id="179" w:name="_Toc168473698"/>
      <w:bookmarkStart w:id="180" w:name="_Toc168471596"/>
      <w:bookmarkStart w:id="181" w:name="_Toc168484656"/>
      <w:bookmarkStart w:id="182" w:name="_Toc168495125"/>
      <w:bookmarkStart w:id="183" w:name="_Toc168495574"/>
      <w:bookmarkStart w:id="184" w:name="_Toc169103242"/>
      <w:bookmarkStart w:id="185" w:name="_Toc169104716"/>
      <w:bookmarkStart w:id="186" w:name="_Toc169278432"/>
      <w:bookmarkStart w:id="187" w:name="_Toc169536871"/>
      <w:bookmarkStart w:id="188" w:name="_Toc169708622"/>
      <w:bookmarkStart w:id="189" w:name="_Toc170119666"/>
      <w:bookmarkStart w:id="190" w:name="_Toc170138049"/>
      <w:bookmarkStart w:id="191" w:name="_Toc170140122"/>
      <w:bookmarkStart w:id="192" w:name="_Toc181715720"/>
      <w:r>
        <w:t xml:space="preserve">Overall </w:t>
      </w:r>
      <w:r w:rsidR="000003C2">
        <w:t>Strategy</w:t>
      </w:r>
      <w:r>
        <w:t xml:space="preserve"> impacts</w:t>
      </w:r>
      <w:bookmarkEnd w:id="172"/>
      <w:bookmarkEnd w:id="173"/>
      <w:bookmarkEnd w:id="174"/>
      <w:bookmarkEnd w:id="175"/>
      <w:bookmarkEnd w:id="176"/>
      <w:bookmarkEnd w:id="177"/>
      <w:bookmarkEnd w:id="178"/>
      <w:bookmarkEnd w:id="179"/>
      <w:bookmarkEnd w:id="180"/>
      <w:bookmarkEnd w:id="181"/>
      <w:bookmarkEnd w:id="182"/>
      <w:bookmarkEnd w:id="183"/>
      <w:r w:rsidR="000003C2">
        <w:t xml:space="preserve"> and challenges</w:t>
      </w:r>
      <w:bookmarkEnd w:id="184"/>
      <w:bookmarkEnd w:id="185"/>
      <w:bookmarkEnd w:id="186"/>
      <w:bookmarkEnd w:id="187"/>
      <w:bookmarkEnd w:id="188"/>
      <w:bookmarkEnd w:id="189"/>
      <w:bookmarkEnd w:id="190"/>
      <w:bookmarkEnd w:id="191"/>
      <w:bookmarkEnd w:id="192"/>
    </w:p>
    <w:p w14:paraId="1E69F6A1" w14:textId="44C97DEC" w:rsidR="002760BC" w:rsidRPr="00BE187E" w:rsidRDefault="002760BC" w:rsidP="00F82036">
      <w:pPr>
        <w:pStyle w:val="Heading2"/>
      </w:pPr>
      <w:bookmarkStart w:id="193" w:name="_Toc168329164"/>
      <w:bookmarkStart w:id="194" w:name="_Toc168322821"/>
      <w:bookmarkStart w:id="195" w:name="_Toc168387937"/>
      <w:bookmarkStart w:id="196" w:name="_Toc168405592"/>
      <w:bookmarkStart w:id="197" w:name="_Toc168408630"/>
      <w:bookmarkStart w:id="198" w:name="_Toc168411031"/>
      <w:bookmarkStart w:id="199" w:name="_Toc168405891"/>
      <w:bookmarkStart w:id="200" w:name="_Toc168473699"/>
      <w:bookmarkStart w:id="201" w:name="_Toc168471597"/>
      <w:bookmarkStart w:id="202" w:name="_Toc168484657"/>
      <w:bookmarkStart w:id="203" w:name="_Toc168495126"/>
      <w:bookmarkStart w:id="204" w:name="_Toc168495575"/>
      <w:bookmarkStart w:id="205" w:name="_Toc169103243"/>
      <w:bookmarkStart w:id="206" w:name="_Toc169104717"/>
      <w:bookmarkStart w:id="207" w:name="_Toc169278433"/>
      <w:bookmarkStart w:id="208" w:name="_Toc169536872"/>
      <w:bookmarkStart w:id="209" w:name="_Toc169708623"/>
      <w:bookmarkStart w:id="210" w:name="_Toc170119667"/>
      <w:bookmarkStart w:id="211" w:name="_Toc170138050"/>
      <w:bookmarkStart w:id="212" w:name="_Toc170140123"/>
      <w:bookmarkStart w:id="213" w:name="_Toc181715721"/>
      <w:r w:rsidRPr="00BE187E">
        <w:t>Positive impacts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31A74E4" w14:textId="189B9818" w:rsidR="00134210" w:rsidRDefault="00AB0D2B" w:rsidP="002760BC">
      <w:r>
        <w:t>T</w:t>
      </w:r>
      <w:r w:rsidR="002760BC">
        <w:t xml:space="preserve">he GES Survey asked agencies </w:t>
      </w:r>
      <w:r w:rsidR="00760DFE">
        <w:t>to outline</w:t>
      </w:r>
      <w:r w:rsidR="002760BC">
        <w:t xml:space="preserve"> the top </w:t>
      </w:r>
      <w:r w:rsidR="00B54D2D">
        <w:t>3</w:t>
      </w:r>
      <w:r w:rsidR="002760BC">
        <w:t xml:space="preserve"> positive changes they had made towards gender equality that were a direct outcome of the Strategy. </w:t>
      </w:r>
    </w:p>
    <w:p w14:paraId="62273363" w14:textId="78A4CB48" w:rsidR="002760BC" w:rsidRDefault="002760BC" w:rsidP="002760BC">
      <w:r>
        <w:t>Most agencies provided lengthy comments in their responses, suggesting the Strategy has</w:t>
      </w:r>
      <w:r w:rsidR="00364FE8">
        <w:t xml:space="preserve"> </w:t>
      </w:r>
      <w:r>
        <w:t xml:space="preserve">brought around a degree of positive change </w:t>
      </w:r>
      <w:r w:rsidR="007709F2">
        <w:t>for gender equality</w:t>
      </w:r>
      <w:r>
        <w:t xml:space="preserve"> in the APS. The Strategy’s greatest impacts were increased leadership action, capability and awareness, greater flexibility and/or leave provisions and improved culture and transparency (</w:t>
      </w:r>
      <w:r w:rsidR="00E74C17">
        <w:fldChar w:fldCharType="begin"/>
      </w:r>
      <w:r w:rsidR="00E74C17">
        <w:instrText xml:space="preserve"> REF _Ref168393676 \h </w:instrText>
      </w:r>
      <w:r w:rsidR="00E74C17">
        <w:fldChar w:fldCharType="separate"/>
      </w:r>
      <w:r w:rsidR="004166B9" w:rsidRPr="00FF0DAA">
        <w:t xml:space="preserve">Figure </w:t>
      </w:r>
      <w:r w:rsidR="004166B9">
        <w:rPr>
          <w:noProof/>
        </w:rPr>
        <w:t>1</w:t>
      </w:r>
      <w:r w:rsidR="00E74C17">
        <w:fldChar w:fldCharType="end"/>
      </w:r>
      <w:r>
        <w:t>).</w:t>
      </w:r>
    </w:p>
    <w:p w14:paraId="14EB3FF3" w14:textId="5C38D394" w:rsidR="002760BC" w:rsidRPr="00FF0DAA" w:rsidRDefault="002760BC" w:rsidP="002760BC">
      <w:pPr>
        <w:pStyle w:val="Heading5"/>
      </w:pPr>
      <w:bookmarkStart w:id="214" w:name="_Ref168393676"/>
      <w:bookmarkStart w:id="215" w:name="_Toc168405550"/>
      <w:bookmarkStart w:id="216" w:name="_Toc168408699"/>
      <w:bookmarkStart w:id="217" w:name="_Toc168410989"/>
      <w:bookmarkStart w:id="218" w:name="_Toc168405849"/>
      <w:bookmarkStart w:id="219" w:name="_Toc168473657"/>
      <w:bookmarkStart w:id="220" w:name="_Toc168471555"/>
      <w:bookmarkStart w:id="221" w:name="_Toc168484614"/>
      <w:bookmarkStart w:id="222" w:name="_Toc168495083"/>
      <w:bookmarkStart w:id="223" w:name="_Toc168495532"/>
      <w:bookmarkStart w:id="224" w:name="_Toc168586001"/>
      <w:bookmarkStart w:id="225" w:name="_Toc168586436"/>
      <w:bookmarkStart w:id="226" w:name="_Toc169278394"/>
      <w:bookmarkStart w:id="227" w:name="_Toc169536509"/>
      <w:bookmarkStart w:id="228" w:name="_Toc169708590"/>
      <w:bookmarkStart w:id="229" w:name="_Toc170138018"/>
      <w:bookmarkStart w:id="230" w:name="_Toc170140091"/>
      <w:bookmarkStart w:id="231" w:name="_Toc173857123"/>
      <w:r w:rsidRPr="00FF0DAA">
        <w:t xml:space="preserve">Figure </w:t>
      </w:r>
      <w:r>
        <w:fldChar w:fldCharType="begin"/>
      </w:r>
      <w:r>
        <w:instrText>SEQ Figure \* ARABIC</w:instrText>
      </w:r>
      <w:r>
        <w:fldChar w:fldCharType="separate"/>
      </w:r>
      <w:r w:rsidR="004166B9">
        <w:rPr>
          <w:noProof/>
        </w:rPr>
        <w:t>1</w:t>
      </w:r>
      <w:r>
        <w:fldChar w:fldCharType="end"/>
      </w:r>
      <w:bookmarkEnd w:id="214"/>
      <w:r>
        <w:t xml:space="preserve"> </w:t>
      </w:r>
      <w:r w:rsidR="00116886">
        <w:t>The</w:t>
      </w:r>
      <w:r>
        <w:t xml:space="preserve"> Strategy’s greatest</w:t>
      </w:r>
      <w:r w:rsidRPr="00FF0DAA">
        <w:t xml:space="preserve"> impacts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000FEBB" w14:textId="4A3CCE28" w:rsidR="002760BC" w:rsidRDefault="002760BC" w:rsidP="002760BC">
      <w:r>
        <w:rPr>
          <w:noProof/>
          <w:lang w:eastAsia="en-AU"/>
        </w:rPr>
        <w:drawing>
          <wp:inline distT="0" distB="0" distL="0" distR="0" wp14:anchorId="5B4F1EA9" wp14:editId="280C19FD">
            <wp:extent cx="5759450" cy="3600450"/>
            <wp:effectExtent l="0" t="0" r="0" b="0"/>
            <wp:docPr id="170548676" name="Chart 170548676" descr="The chart shows the impact items and the percetage of agencies that made changes in this area. " title="Figure 1 Strategies greatest impa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392146" w14:textId="4B0DA5CE" w:rsidR="002760BC" w:rsidRPr="005662A8" w:rsidRDefault="002760BC" w:rsidP="002760BC">
      <w:pPr>
        <w:rPr>
          <w:sz w:val="16"/>
          <w:szCs w:val="16"/>
        </w:rPr>
      </w:pPr>
      <w:r w:rsidRPr="005662A8">
        <w:rPr>
          <w:sz w:val="16"/>
          <w:szCs w:val="16"/>
        </w:rPr>
        <w:t xml:space="preserve">Source: </w:t>
      </w:r>
      <w:r w:rsidR="00876F89">
        <w:rPr>
          <w:sz w:val="16"/>
          <w:szCs w:val="16"/>
        </w:rPr>
        <w:t xml:space="preserve">2024 </w:t>
      </w:r>
      <w:r w:rsidR="008A3BB3">
        <w:rPr>
          <w:sz w:val="16"/>
          <w:szCs w:val="16"/>
        </w:rPr>
        <w:t>GES</w:t>
      </w:r>
      <w:r w:rsidR="00A50295">
        <w:rPr>
          <w:sz w:val="16"/>
          <w:szCs w:val="16"/>
        </w:rPr>
        <w:t xml:space="preserve"> </w:t>
      </w:r>
      <w:r>
        <w:rPr>
          <w:sz w:val="16"/>
          <w:szCs w:val="16"/>
        </w:rPr>
        <w:t>Survey</w:t>
      </w:r>
      <w:r w:rsidR="00876F89">
        <w:rPr>
          <w:sz w:val="16"/>
          <w:szCs w:val="16"/>
        </w:rPr>
        <w:t>.</w:t>
      </w:r>
    </w:p>
    <w:p w14:paraId="1F8CC237" w14:textId="65E00C95" w:rsidR="00CD76D3" w:rsidRDefault="000F6A3E" w:rsidP="00CD76D3">
      <w:r>
        <w:t>GES Survey responses reveal</w:t>
      </w:r>
      <w:r w:rsidR="001F5802">
        <w:t>ed</w:t>
      </w:r>
      <w:r>
        <w:t xml:space="preserve"> that there </w:t>
      </w:r>
      <w:r w:rsidR="001F5802">
        <w:t>are</w:t>
      </w:r>
      <w:r>
        <w:t xml:space="preserve"> a range of agency action</w:t>
      </w:r>
      <w:r w:rsidR="00D92327">
        <w:t>s</w:t>
      </w:r>
      <w:r>
        <w:t xml:space="preserve"> that has led to these impacts</w:t>
      </w:r>
      <w:r w:rsidR="00D92327">
        <w:t>, and these impacts in turn have improved agency work practices and cultures.</w:t>
      </w:r>
    </w:p>
    <w:p w14:paraId="10CF91E6" w14:textId="1D56E9A1" w:rsidR="002760BC" w:rsidRDefault="002760BC" w:rsidP="00D92327">
      <w:r w:rsidRPr="00A239BD">
        <w:rPr>
          <w:b/>
        </w:rPr>
        <w:t>Increased leadership action, capability</w:t>
      </w:r>
      <w:r w:rsidR="00D92327" w:rsidRPr="00D92327">
        <w:rPr>
          <w:b/>
        </w:rPr>
        <w:t>,</w:t>
      </w:r>
      <w:r w:rsidRPr="00A239BD">
        <w:rPr>
          <w:b/>
        </w:rPr>
        <w:t xml:space="preserve"> and awareness</w:t>
      </w:r>
      <w:r>
        <w:t xml:space="preserve"> </w:t>
      </w:r>
      <w:r w:rsidR="00D92327">
        <w:t>was driven by</w:t>
      </w:r>
      <w:r>
        <w:t xml:space="preserve"> increased discussions and leadership engagement with employees around gender, the establishment of senior-level champions and action on gender representation at all classifications.</w:t>
      </w:r>
    </w:p>
    <w:p w14:paraId="1C3C5536" w14:textId="60C8D503" w:rsidR="002760BC" w:rsidRDefault="002760BC" w:rsidP="00D92327">
      <w:r w:rsidRPr="00A125B5">
        <w:rPr>
          <w:b/>
        </w:rPr>
        <w:t>Greater flexibility and/or leave provisions</w:t>
      </w:r>
      <w:r>
        <w:t xml:space="preserve"> </w:t>
      </w:r>
      <w:r w:rsidR="00D92327">
        <w:t>led to</w:t>
      </w:r>
      <w:r>
        <w:t xml:space="preserve"> cultural change around flexible work practices, increased support/policies for caring arrangements for all genders, enhanced parental leave, </w:t>
      </w:r>
      <w:r>
        <w:lastRenderedPageBreak/>
        <w:t>increased uptake of flexible work arrangements by all genders and consideration now given to advertising all positions as full-time, part-time and job share.</w:t>
      </w:r>
      <w:r w:rsidR="009E0C72">
        <w:t xml:space="preserve"> </w:t>
      </w:r>
      <w:r>
        <w:t>An example of this is highlighted by the Australian Electoral Commission (AEC):</w:t>
      </w:r>
    </w:p>
    <w:p w14:paraId="4F3729A9" w14:textId="77777777" w:rsidR="0074300C" w:rsidRPr="0036037D" w:rsidRDefault="0074300C" w:rsidP="002760BC">
      <w:pPr>
        <w:ind w:left="720"/>
        <w:rPr>
          <w:rStyle w:val="Emphasis"/>
        </w:rPr>
      </w:pPr>
      <w:r w:rsidRPr="0036037D">
        <w:rPr>
          <w:rStyle w:val="Emphasis"/>
        </w:rPr>
        <w:t>T</w:t>
      </w:r>
      <w:r w:rsidR="002760BC" w:rsidRPr="0036037D">
        <w:rPr>
          <w:rStyle w:val="Emphasis"/>
        </w:rPr>
        <w:t xml:space="preserve">he AEC undertook agency-wide engagement to inform the development of a comprehensive flexible working arrangements policy. </w:t>
      </w:r>
    </w:p>
    <w:p w14:paraId="245EA9BB" w14:textId="77777777" w:rsidR="0074300C" w:rsidRPr="0036037D" w:rsidRDefault="002760BC" w:rsidP="002760BC">
      <w:pPr>
        <w:ind w:left="720"/>
        <w:rPr>
          <w:rStyle w:val="Emphasis"/>
        </w:rPr>
      </w:pPr>
      <w:r w:rsidRPr="0036037D">
        <w:rPr>
          <w:rStyle w:val="Emphasis"/>
        </w:rPr>
        <w:t xml:space="preserve">We undertook an agency-wide employee survey that explored the various arrangements and which of these staff would find most beneficial to them and their area. </w:t>
      </w:r>
    </w:p>
    <w:p w14:paraId="519DA6EC" w14:textId="67657D44" w:rsidR="002760BC" w:rsidRPr="0036037D" w:rsidRDefault="002760BC" w:rsidP="002760BC">
      <w:pPr>
        <w:ind w:left="720"/>
        <w:rPr>
          <w:rStyle w:val="Emphasis"/>
        </w:rPr>
      </w:pPr>
      <w:r w:rsidRPr="0036037D">
        <w:rPr>
          <w:rStyle w:val="Emphasis"/>
        </w:rPr>
        <w:t xml:space="preserve">A member of the executive leadership team </w:t>
      </w:r>
      <w:r w:rsidR="0074300C" w:rsidRPr="0036037D">
        <w:rPr>
          <w:rStyle w:val="Emphasis"/>
        </w:rPr>
        <w:t xml:space="preserve">[also] </w:t>
      </w:r>
      <w:r w:rsidRPr="0036037D">
        <w:rPr>
          <w:rStyle w:val="Emphasis"/>
        </w:rPr>
        <w:t>engaged with AEC employees at all levels across Australia through a ‘roadshow’ to listen and discuss their feedback about the way we work. This roadshow was an opportunity to promote the newly-drafted Flexible Working Arrangements Policy and ensured that all staff had a genuine opportunity to contribute to its development.</w:t>
      </w:r>
    </w:p>
    <w:p w14:paraId="28198F51" w14:textId="5AEDAB3F" w:rsidR="002760BC" w:rsidRDefault="002760BC" w:rsidP="00D92327">
      <w:r w:rsidRPr="00A239BD">
        <w:rPr>
          <w:b/>
        </w:rPr>
        <w:t xml:space="preserve">Improved </w:t>
      </w:r>
      <w:r w:rsidR="00D92327">
        <w:rPr>
          <w:b/>
        </w:rPr>
        <w:t>cultures</w:t>
      </w:r>
      <w:r w:rsidRPr="00A239BD">
        <w:rPr>
          <w:b/>
        </w:rPr>
        <w:t xml:space="preserve"> and transparency</w:t>
      </w:r>
      <w:r w:rsidRPr="00F62A3E">
        <w:rPr>
          <w:b/>
        </w:rPr>
        <w:t xml:space="preserve"> </w:t>
      </w:r>
      <w:r w:rsidR="00F62A3E" w:rsidRPr="00F62A3E">
        <w:rPr>
          <w:b/>
        </w:rPr>
        <w:t>initiatives</w:t>
      </w:r>
      <w:r w:rsidR="00F62A3E">
        <w:t xml:space="preserve"> have seen</w:t>
      </w:r>
      <w:r>
        <w:t xml:space="preserve"> shifts to more inclusive workplace cultures, eradicating gender stereotypes, building more respectful workplaces such as through increased education and transparency around sexual harassment prevalence and response.</w:t>
      </w:r>
    </w:p>
    <w:p w14:paraId="779BD942" w14:textId="6CCDA7E6" w:rsidR="002760BC" w:rsidRDefault="00B955E5" w:rsidP="00F62A3E">
      <w:r>
        <w:t xml:space="preserve">These impacts coincided with </w:t>
      </w:r>
      <w:r>
        <w:rPr>
          <w:b/>
        </w:rPr>
        <w:t>in</w:t>
      </w:r>
      <w:r w:rsidR="002760BC" w:rsidRPr="00F62A3E">
        <w:rPr>
          <w:b/>
        </w:rPr>
        <w:t xml:space="preserve">creased representation </w:t>
      </w:r>
      <w:r>
        <w:rPr>
          <w:b/>
        </w:rPr>
        <w:t xml:space="preserve">of women across classifications, </w:t>
      </w:r>
      <w:r>
        <w:t xml:space="preserve">which agencies reported were </w:t>
      </w:r>
      <w:r w:rsidR="00F62A3E">
        <w:t xml:space="preserve">supported by efforts to increase </w:t>
      </w:r>
      <w:r w:rsidR="002760BC">
        <w:t xml:space="preserve">representation of women in leadership positions and </w:t>
      </w:r>
      <w:r w:rsidR="009A6292" w:rsidRPr="009A6292">
        <w:t xml:space="preserve">Science, Technology, Engineering, and Mathematics </w:t>
      </w:r>
      <w:r w:rsidR="009A6292">
        <w:t>(</w:t>
      </w:r>
      <w:r w:rsidR="002760BC">
        <w:t>STEM</w:t>
      </w:r>
      <w:r w:rsidR="009A6292">
        <w:t>)</w:t>
      </w:r>
      <w:r w:rsidR="002760BC">
        <w:t xml:space="preserve"> occupations.</w:t>
      </w:r>
    </w:p>
    <w:p w14:paraId="41276B90" w14:textId="3A8BE27A" w:rsidR="002760BC" w:rsidRPr="00361342" w:rsidRDefault="00F82036" w:rsidP="00F82036">
      <w:pPr>
        <w:pStyle w:val="Heading2"/>
      </w:pPr>
      <w:bookmarkStart w:id="232" w:name="_Toc168329165"/>
      <w:bookmarkStart w:id="233" w:name="_Toc168322822"/>
      <w:bookmarkStart w:id="234" w:name="_Toc168387938"/>
      <w:bookmarkStart w:id="235" w:name="_Toc168405593"/>
      <w:bookmarkStart w:id="236" w:name="_Toc168408631"/>
      <w:bookmarkStart w:id="237" w:name="_Toc168411032"/>
      <w:bookmarkStart w:id="238" w:name="_Toc168405892"/>
      <w:bookmarkStart w:id="239" w:name="_Toc168473700"/>
      <w:bookmarkStart w:id="240" w:name="_Toc168471598"/>
      <w:bookmarkStart w:id="241" w:name="_Toc168484658"/>
      <w:bookmarkStart w:id="242" w:name="_Toc168495127"/>
      <w:bookmarkStart w:id="243" w:name="_Toc168495576"/>
      <w:bookmarkStart w:id="244" w:name="_Toc169103244"/>
      <w:bookmarkStart w:id="245" w:name="_Toc169104718"/>
      <w:bookmarkStart w:id="246" w:name="_Toc169278434"/>
      <w:bookmarkStart w:id="247" w:name="_Toc169533328"/>
      <w:bookmarkStart w:id="248" w:name="_Toc169536873"/>
      <w:bookmarkStart w:id="249" w:name="_Toc169708624"/>
      <w:bookmarkStart w:id="250" w:name="_Toc170119668"/>
      <w:bookmarkStart w:id="251" w:name="_Toc170138051"/>
      <w:bookmarkStart w:id="252" w:name="_Toc170140124"/>
      <w:bookmarkStart w:id="253" w:name="_Toc181715722"/>
      <w:r>
        <w:t>I</w:t>
      </w:r>
      <w:r w:rsidR="002760BC" w:rsidRPr="00361342">
        <w:t>mplementation challenges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E5CA557" w14:textId="77777777" w:rsidR="009C19D3" w:rsidRDefault="002760BC" w:rsidP="002760BC">
      <w:r>
        <w:t xml:space="preserve">To understand and help address the barriers of implementing the Strategy, the GES Survey asked agencies to report the challenges they had encountered in Strategy implementation. </w:t>
      </w:r>
    </w:p>
    <w:p w14:paraId="20563C98" w14:textId="6520995A" w:rsidR="002760BC" w:rsidRDefault="00165B9D" w:rsidP="002760BC">
      <w:r>
        <w:t>58%</w:t>
      </w:r>
      <w:r w:rsidR="002760BC">
        <w:t xml:space="preserve"> of </w:t>
      </w:r>
      <w:r>
        <w:t xml:space="preserve">responding </w:t>
      </w:r>
      <w:r w:rsidR="002760BC">
        <w:t>agencies reported a lack of resources and 17% noted that staff were not tasked to action the deliverables. 31% of agencies reported challenges other than resourcing or staff. In contrast, 19%</w:t>
      </w:r>
      <w:r w:rsidR="008C70FB">
        <w:t xml:space="preserve"> of responding</w:t>
      </w:r>
      <w:r w:rsidR="002760BC">
        <w:t xml:space="preserve"> agencies reported not encountering any challenges.</w:t>
      </w:r>
    </w:p>
    <w:p w14:paraId="275F5F6C" w14:textId="529640F9" w:rsidR="002760BC" w:rsidRDefault="002760BC" w:rsidP="002760BC">
      <w:r>
        <w:t xml:space="preserve">Agencies’ comments indicated that implementation was a </w:t>
      </w:r>
      <w:r w:rsidR="00973D0E">
        <w:t xml:space="preserve">greater </w:t>
      </w:r>
      <w:r>
        <w:t xml:space="preserve">challenge for smaller agencies, who did not have the resources to undertake initiatives, </w:t>
      </w:r>
      <w:r w:rsidR="00973D0E">
        <w:t>and</w:t>
      </w:r>
      <w:r>
        <w:t xml:space="preserve"> had too many competing strategies to focus their efforts on. For example: </w:t>
      </w:r>
    </w:p>
    <w:p w14:paraId="10DC81A9" w14:textId="248578FC" w:rsidR="002760BC" w:rsidRPr="0036037D" w:rsidRDefault="002760BC" w:rsidP="003634D2">
      <w:pPr>
        <w:ind w:left="720"/>
        <w:rPr>
          <w:rStyle w:val="Emphasis"/>
        </w:rPr>
      </w:pPr>
      <w:r w:rsidRPr="0036037D">
        <w:rPr>
          <w:rStyle w:val="Emphasis"/>
        </w:rPr>
        <w:t>With the proliferation of strategies and APS reforms and a lack of additional resources to implement, resources are stretched and this will impact our ability to meet targets.</w:t>
      </w:r>
    </w:p>
    <w:p w14:paraId="7666F88C" w14:textId="31C10A4D" w:rsidR="002760BC" w:rsidRPr="0036037D" w:rsidRDefault="002760BC" w:rsidP="002760BC">
      <w:pPr>
        <w:ind w:left="720"/>
        <w:rPr>
          <w:rStyle w:val="Emphasis"/>
        </w:rPr>
      </w:pPr>
      <w:r w:rsidRPr="0036037D">
        <w:rPr>
          <w:rStyle w:val="Emphasis"/>
        </w:rPr>
        <w:t>These initiatives, although important, place increased stress on already stretched resources of an extra-small agency</w:t>
      </w:r>
      <w:r w:rsidR="00EF56FE" w:rsidRPr="0036037D">
        <w:rPr>
          <w:rStyle w:val="Emphasis"/>
        </w:rPr>
        <w:t>.</w:t>
      </w:r>
    </w:p>
    <w:p w14:paraId="2FF93E3E" w14:textId="4C9E05D0" w:rsidR="002760BC" w:rsidRDefault="002760BC" w:rsidP="005F6814">
      <w:pPr>
        <w:rPr>
          <w:rFonts w:asciiTheme="majorHAnsi" w:eastAsiaTheme="majorEastAsia" w:hAnsiTheme="majorHAnsi" w:cstheme="majorBidi"/>
          <w:sz w:val="40"/>
          <w:szCs w:val="32"/>
        </w:rPr>
      </w:pPr>
      <w:r>
        <w:t xml:space="preserve">For the remainder of the Strategy’s timeframe, the APSC and larger portfolio agencies </w:t>
      </w:r>
      <w:r w:rsidR="00AD42D7">
        <w:t>c</w:t>
      </w:r>
      <w:r>
        <w:t>ould consider how they can support smaller agencies with the Strategy’s implementation</w:t>
      </w:r>
      <w:r w:rsidR="00636281">
        <w:t xml:space="preserve">. </w:t>
      </w:r>
      <w:r w:rsidR="00457545">
        <w:t xml:space="preserve">As the current strategies come to a close, consideration should be given to </w:t>
      </w:r>
      <w:r w:rsidR="00636281">
        <w:t>consolidate</w:t>
      </w:r>
      <w:r w:rsidR="00457545">
        <w:t xml:space="preserve"> different strategies. An </w:t>
      </w:r>
      <w:r w:rsidR="00636281">
        <w:t>overall APS Diversity and Inclusion Strategy</w:t>
      </w:r>
      <w:r w:rsidR="00457545">
        <w:t xml:space="preserve"> or Framework would streamline implementation of actions and reduce reporting burden</w:t>
      </w:r>
      <w:r w:rsidR="00636281">
        <w:t>.</w:t>
      </w:r>
      <w:bookmarkStart w:id="254" w:name="_Toc165991648"/>
      <w:bookmarkStart w:id="255" w:name="_Toc166082946"/>
      <w:bookmarkStart w:id="256" w:name="_Toc166160310"/>
      <w:bookmarkStart w:id="257" w:name="_Toc166168009"/>
      <w:r>
        <w:br w:type="page"/>
      </w:r>
    </w:p>
    <w:p w14:paraId="3C3931B2" w14:textId="1F54E468" w:rsidR="00A41E6B" w:rsidRPr="00A41E6B" w:rsidRDefault="00AD42D7" w:rsidP="00A41E6B">
      <w:pPr>
        <w:pStyle w:val="Heading1"/>
      </w:pPr>
      <w:bookmarkStart w:id="258" w:name="_Toc168329166"/>
      <w:bookmarkStart w:id="259" w:name="_Toc168322823"/>
      <w:bookmarkStart w:id="260" w:name="_Toc168387939"/>
      <w:bookmarkStart w:id="261" w:name="_Toc168405594"/>
      <w:bookmarkStart w:id="262" w:name="_Toc168408632"/>
      <w:bookmarkStart w:id="263" w:name="_Toc168411033"/>
      <w:bookmarkStart w:id="264" w:name="_Toc168405893"/>
      <w:bookmarkStart w:id="265" w:name="_Toc168473701"/>
      <w:bookmarkStart w:id="266" w:name="_Toc168471599"/>
      <w:bookmarkStart w:id="267" w:name="_Toc168484659"/>
      <w:bookmarkStart w:id="268" w:name="_Toc168495128"/>
      <w:bookmarkStart w:id="269" w:name="_Toc168495577"/>
      <w:bookmarkStart w:id="270" w:name="_Toc169103245"/>
      <w:bookmarkStart w:id="271" w:name="_Toc169104719"/>
      <w:bookmarkStart w:id="272" w:name="_Toc169278435"/>
      <w:bookmarkStart w:id="273" w:name="_Toc169536874"/>
      <w:bookmarkStart w:id="274" w:name="_Toc169708625"/>
      <w:bookmarkStart w:id="275" w:name="_Toc170119669"/>
      <w:bookmarkStart w:id="276" w:name="_Toc170138052"/>
      <w:bookmarkStart w:id="277" w:name="_Toc170140125"/>
      <w:bookmarkStart w:id="278" w:name="_Toc181715723"/>
      <w:r>
        <w:lastRenderedPageBreak/>
        <w:t xml:space="preserve">Strategy impacts on </w:t>
      </w:r>
      <w:r w:rsidR="00B61704" w:rsidRPr="00736350">
        <w:t>Action Area 1: Leadership and accountability</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Style w:val="TableGrid"/>
        <w:tblW w:w="0" w:type="auto"/>
        <w:tblLook w:val="04A0" w:firstRow="1" w:lastRow="0" w:firstColumn="1" w:lastColumn="0" w:noHBand="0" w:noVBand="1"/>
        <w:tblCaption w:val="Strategy impacts on Action Area 1: Leadership and accountability"/>
      </w:tblPr>
      <w:tblGrid>
        <w:gridCol w:w="3428"/>
        <w:gridCol w:w="1257"/>
        <w:gridCol w:w="4375"/>
      </w:tblGrid>
      <w:tr w:rsidR="005F6814" w14:paraId="196B723C" w14:textId="77777777" w:rsidTr="00AD566C">
        <w:trPr>
          <w:trHeight w:val="263"/>
          <w:tblHeader/>
        </w:trPr>
        <w:tc>
          <w:tcPr>
            <w:tcW w:w="3428" w:type="dxa"/>
            <w:shd w:val="clear" w:color="auto" w:fill="4DA3AB" w:themeFill="accent1"/>
          </w:tcPr>
          <w:p w14:paraId="458F7139" w14:textId="059E0D29" w:rsidR="005F6814" w:rsidRPr="009A4425" w:rsidRDefault="005F6814" w:rsidP="005F6814">
            <w:pPr>
              <w:rPr>
                <w:b/>
                <w:sz w:val="24"/>
                <w:szCs w:val="24"/>
              </w:rPr>
            </w:pPr>
            <w:r w:rsidRPr="009A4425">
              <w:rPr>
                <w:b/>
                <w:sz w:val="24"/>
                <w:szCs w:val="24"/>
              </w:rPr>
              <w:t>Action</w:t>
            </w:r>
          </w:p>
        </w:tc>
        <w:tc>
          <w:tcPr>
            <w:tcW w:w="1257" w:type="dxa"/>
            <w:shd w:val="clear" w:color="auto" w:fill="4DA3AB" w:themeFill="accent1"/>
          </w:tcPr>
          <w:p w14:paraId="7380C5DF" w14:textId="0E0292A4" w:rsidR="005F6814" w:rsidRPr="009A4425" w:rsidRDefault="00D537F9" w:rsidP="005F6814">
            <w:pPr>
              <w:rPr>
                <w:b/>
                <w:sz w:val="24"/>
                <w:szCs w:val="24"/>
              </w:rPr>
            </w:pPr>
            <w:r>
              <w:rPr>
                <w:b/>
                <w:sz w:val="24"/>
                <w:szCs w:val="24"/>
              </w:rPr>
              <w:t xml:space="preserve">Status </w:t>
            </w:r>
          </w:p>
        </w:tc>
        <w:tc>
          <w:tcPr>
            <w:tcW w:w="4375" w:type="dxa"/>
            <w:shd w:val="clear" w:color="auto" w:fill="4DA3AB" w:themeFill="accent1"/>
          </w:tcPr>
          <w:p w14:paraId="2E33EF2E"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6C82E23B" w14:textId="77777777" w:rsidTr="001721A3">
        <w:trPr>
          <w:trHeight w:val="2411"/>
        </w:trPr>
        <w:tc>
          <w:tcPr>
            <w:tcW w:w="3428" w:type="dxa"/>
            <w:shd w:val="clear" w:color="auto" w:fill="auto"/>
          </w:tcPr>
          <w:p w14:paraId="03864F4D" w14:textId="77777777" w:rsidR="006E644B" w:rsidRDefault="005F6814" w:rsidP="005F6814">
            <w:r>
              <w:rPr>
                <w:b/>
              </w:rPr>
              <w:t>(</w:t>
            </w:r>
            <w:r w:rsidRPr="00700A07">
              <w:rPr>
                <w:b/>
              </w:rPr>
              <w:t xml:space="preserve">Minimum standard) </w:t>
            </w:r>
            <w:r w:rsidRPr="00BE187E">
              <w:t>Leaders are visible role models</w:t>
            </w:r>
            <w:r w:rsidRPr="00BF61AB">
              <w:t> at any level and show their commitment to gender equality through their actions and words. Senior leaders should consider how to support gender equality le</w:t>
            </w:r>
            <w:r>
              <w:t>adership in their organisation.</w:t>
            </w:r>
          </w:p>
          <w:p w14:paraId="4A0A15F4" w14:textId="55E66A3B" w:rsidR="005F6814" w:rsidRPr="00684BD5" w:rsidRDefault="005F6814" w:rsidP="005F6814"/>
        </w:tc>
        <w:tc>
          <w:tcPr>
            <w:tcW w:w="1257" w:type="dxa"/>
            <w:shd w:val="clear" w:color="auto" w:fill="auto"/>
          </w:tcPr>
          <w:p w14:paraId="7FF90748" w14:textId="77777777" w:rsidR="005F6814" w:rsidRPr="00CB1F5C" w:rsidRDefault="005F6814" w:rsidP="005F6814">
            <w:pPr>
              <w:rPr>
                <w:b/>
              </w:rPr>
            </w:pPr>
            <w:r>
              <w:rPr>
                <w:b/>
              </w:rPr>
              <w:t>Progress made</w:t>
            </w:r>
            <w:r w:rsidRPr="00CB1F5C">
              <w:rPr>
                <w:b/>
              </w:rPr>
              <w:t xml:space="preserve"> </w:t>
            </w:r>
          </w:p>
        </w:tc>
        <w:tc>
          <w:tcPr>
            <w:tcW w:w="4375" w:type="dxa"/>
            <w:shd w:val="clear" w:color="auto" w:fill="auto"/>
          </w:tcPr>
          <w:p w14:paraId="0F99469A" w14:textId="77777777" w:rsidR="005F6814" w:rsidRDefault="005F6814" w:rsidP="00F9645E">
            <w:pPr>
              <w:pStyle w:val="BulletLevel1"/>
              <w:numPr>
                <w:ilvl w:val="0"/>
                <w:numId w:val="34"/>
              </w:numPr>
              <w:spacing w:before="0"/>
              <w:ind w:left="357" w:hanging="357"/>
            </w:pPr>
            <w:r>
              <w:t>60% of agencies reported their leaders had spoken about gender equality at public engagements.</w:t>
            </w:r>
          </w:p>
          <w:p w14:paraId="68B7C163" w14:textId="0960A182" w:rsidR="005F6814" w:rsidRDefault="005F6814" w:rsidP="00F9645E">
            <w:pPr>
              <w:pStyle w:val="BulletLevel1"/>
              <w:numPr>
                <w:ilvl w:val="0"/>
                <w:numId w:val="34"/>
              </w:numPr>
            </w:pPr>
            <w:r>
              <w:t>Most agencies were able to demonstrate examples of leader commitment to gender equality through actions and/or words.</w:t>
            </w:r>
          </w:p>
        </w:tc>
      </w:tr>
      <w:tr w:rsidR="005F6814" w14:paraId="650293AE" w14:textId="77777777" w:rsidTr="001721A3">
        <w:trPr>
          <w:trHeight w:val="3146"/>
        </w:trPr>
        <w:tc>
          <w:tcPr>
            <w:tcW w:w="3428" w:type="dxa"/>
            <w:shd w:val="clear" w:color="auto" w:fill="auto"/>
          </w:tcPr>
          <w:p w14:paraId="742DE785" w14:textId="77777777" w:rsidR="005F6814" w:rsidRDefault="005F6814" w:rsidP="005F6814">
            <w:r>
              <w:rPr>
                <w:b/>
              </w:rPr>
              <w:t>(</w:t>
            </w:r>
            <w:r w:rsidRPr="00700A07">
              <w:rPr>
                <w:b/>
              </w:rPr>
              <w:t xml:space="preserve">Minimum standard) </w:t>
            </w:r>
            <w:r w:rsidRPr="00BE187E">
              <w:t>Agencies publish (on the internet) targeted plans for gender equality</w:t>
            </w:r>
            <w:r>
              <w:t xml:space="preserve"> </w:t>
            </w:r>
            <w:r w:rsidRPr="00BF61AB">
              <w:t>informed by data and aligned to agency priorities.</w:t>
            </w:r>
          </w:p>
          <w:p w14:paraId="2017BD59" w14:textId="77777777" w:rsidR="005F6814" w:rsidRPr="004937DD" w:rsidRDefault="005F6814" w:rsidP="005F6814">
            <w:pPr>
              <w:rPr>
                <w:b/>
              </w:rPr>
            </w:pPr>
          </w:p>
        </w:tc>
        <w:tc>
          <w:tcPr>
            <w:tcW w:w="1257" w:type="dxa"/>
            <w:shd w:val="clear" w:color="auto" w:fill="auto"/>
          </w:tcPr>
          <w:p w14:paraId="49C7C5B0" w14:textId="77777777" w:rsidR="005F6814" w:rsidRPr="00CB1F5C" w:rsidRDefault="005F6814" w:rsidP="005F6814">
            <w:pPr>
              <w:rPr>
                <w:b/>
              </w:rPr>
            </w:pPr>
            <w:r>
              <w:rPr>
                <w:b/>
              </w:rPr>
              <w:t>Progress made</w:t>
            </w:r>
            <w:r w:rsidRPr="00CB1F5C">
              <w:rPr>
                <w:b/>
              </w:rPr>
              <w:t xml:space="preserve"> </w:t>
            </w:r>
          </w:p>
        </w:tc>
        <w:tc>
          <w:tcPr>
            <w:tcW w:w="4375" w:type="dxa"/>
            <w:shd w:val="clear" w:color="auto" w:fill="auto"/>
          </w:tcPr>
          <w:p w14:paraId="19D4A381" w14:textId="222529F0" w:rsidR="008A2EE3" w:rsidRDefault="008A2EE3" w:rsidP="00F9645E">
            <w:pPr>
              <w:pStyle w:val="BulletLevel1"/>
              <w:numPr>
                <w:ilvl w:val="0"/>
                <w:numId w:val="34"/>
              </w:numPr>
            </w:pPr>
            <w:r>
              <w:t>74% of agencies had a gender equality policy, strategy, action plan</w:t>
            </w:r>
            <w:r w:rsidR="00EF4BF5">
              <w:t>,</w:t>
            </w:r>
            <w:r>
              <w:t xml:space="preserve"> or other initiative (such as training or information and resources) in place in 2023. This was an increase from 55% in 2021.</w:t>
            </w:r>
          </w:p>
          <w:p w14:paraId="0FF7E049" w14:textId="290E8500" w:rsidR="005F6814" w:rsidRDefault="0047022E" w:rsidP="00F9645E">
            <w:pPr>
              <w:pStyle w:val="BulletLevel1"/>
              <w:numPr>
                <w:ilvl w:val="1"/>
                <w:numId w:val="34"/>
              </w:numPr>
            </w:pPr>
            <w:r>
              <w:t xml:space="preserve">Of these activities, </w:t>
            </w:r>
            <w:r w:rsidR="005F6814">
              <w:t>57% of agencies had an agency</w:t>
            </w:r>
            <w:r w:rsidR="00BB647F">
              <w:t>-</w:t>
            </w:r>
            <w:r w:rsidR="005F6814">
              <w:t>tailored gender equality strategy and/or action plan in place in 2023.</w:t>
            </w:r>
          </w:p>
          <w:p w14:paraId="7369BE3A" w14:textId="77777777" w:rsidR="003A5F45" w:rsidRDefault="005F6814" w:rsidP="00F9645E">
            <w:pPr>
              <w:pStyle w:val="BulletLevel1"/>
              <w:numPr>
                <w:ilvl w:val="1"/>
                <w:numId w:val="34"/>
              </w:numPr>
            </w:pPr>
            <w:r>
              <w:t xml:space="preserve">74% of these plans were promoted </w:t>
            </w:r>
            <w:r w:rsidR="009E0915">
              <w:t>publicly</w:t>
            </w:r>
            <w:r>
              <w:t>.</w:t>
            </w:r>
          </w:p>
          <w:p w14:paraId="5B83FD96" w14:textId="77777777" w:rsidR="006F686C" w:rsidRDefault="006F686C" w:rsidP="00F9645E">
            <w:pPr>
              <w:pStyle w:val="BulletLevel1"/>
              <w:numPr>
                <w:ilvl w:val="0"/>
                <w:numId w:val="34"/>
              </w:numPr>
            </w:pPr>
            <w:r>
              <w:t>Agencies that had a gender equality policy, strategy, action plan, or other initiative in place tended to be larger in size.</w:t>
            </w:r>
          </w:p>
          <w:p w14:paraId="1E8164BE" w14:textId="3AB5622C" w:rsidR="002C0BE2" w:rsidRDefault="002C0BE2" w:rsidP="002C0BE2">
            <w:pPr>
              <w:pStyle w:val="BulletLevel1"/>
              <w:ind w:left="0" w:firstLine="0"/>
            </w:pPr>
          </w:p>
        </w:tc>
      </w:tr>
      <w:tr w:rsidR="005F6814" w14:paraId="211D3809" w14:textId="77777777" w:rsidTr="001721A3">
        <w:trPr>
          <w:trHeight w:val="3390"/>
        </w:trPr>
        <w:tc>
          <w:tcPr>
            <w:tcW w:w="3428" w:type="dxa"/>
            <w:shd w:val="clear" w:color="auto" w:fill="auto"/>
          </w:tcPr>
          <w:p w14:paraId="2EE85F11" w14:textId="77777777" w:rsidR="005F6814" w:rsidRDefault="005F6814" w:rsidP="005F6814">
            <w:r>
              <w:rPr>
                <w:b/>
              </w:rPr>
              <w:t>(</w:t>
            </w:r>
            <w:r w:rsidRPr="00700A07">
              <w:rPr>
                <w:b/>
              </w:rPr>
              <w:t xml:space="preserve">Minimum standard) </w:t>
            </w:r>
            <w:r w:rsidRPr="00BE187E">
              <w:t>Dedicated resources and governance arrangements are in place to support the work.</w:t>
            </w:r>
            <w:r w:rsidRPr="00BF61AB">
              <w:t xml:space="preserve"> </w:t>
            </w:r>
          </w:p>
          <w:p w14:paraId="2393D563" w14:textId="77777777" w:rsidR="005F6814" w:rsidRDefault="005F6814" w:rsidP="00F9645E">
            <w:pPr>
              <w:pStyle w:val="BulletLevel1"/>
              <w:numPr>
                <w:ilvl w:val="0"/>
                <w:numId w:val="39"/>
              </w:numPr>
            </w:pPr>
            <w:r w:rsidRPr="00BF61AB">
              <w:t>Gender Champions and employee led gender networks are involved.</w:t>
            </w:r>
          </w:p>
          <w:p w14:paraId="09EA15AA" w14:textId="5646D0DB" w:rsidR="005F6814" w:rsidRPr="00FB2610" w:rsidRDefault="005F6814" w:rsidP="00F9645E">
            <w:pPr>
              <w:pStyle w:val="BulletLevel1"/>
              <w:numPr>
                <w:ilvl w:val="0"/>
                <w:numId w:val="39"/>
              </w:numPr>
            </w:pPr>
            <w:r w:rsidRPr="00BF61AB">
              <w:t>Regular tracking of progress and impa</w:t>
            </w:r>
            <w:r>
              <w:t xml:space="preserve">ct is transparent to employees. </w:t>
            </w:r>
          </w:p>
        </w:tc>
        <w:tc>
          <w:tcPr>
            <w:tcW w:w="1257" w:type="dxa"/>
            <w:shd w:val="clear" w:color="auto" w:fill="auto"/>
          </w:tcPr>
          <w:p w14:paraId="744DD3A0" w14:textId="77777777" w:rsidR="005F6814" w:rsidRPr="00CB1F5C" w:rsidRDefault="005F6814" w:rsidP="005F6814">
            <w:pPr>
              <w:rPr>
                <w:b/>
              </w:rPr>
            </w:pPr>
            <w:r>
              <w:rPr>
                <w:b/>
              </w:rPr>
              <w:t>Progress made</w:t>
            </w:r>
            <w:r w:rsidRPr="00CB1F5C">
              <w:rPr>
                <w:b/>
              </w:rPr>
              <w:t xml:space="preserve"> </w:t>
            </w:r>
          </w:p>
        </w:tc>
        <w:tc>
          <w:tcPr>
            <w:tcW w:w="4375" w:type="dxa"/>
            <w:shd w:val="clear" w:color="auto" w:fill="auto"/>
          </w:tcPr>
          <w:p w14:paraId="672E3700" w14:textId="3CDF678E" w:rsidR="0031176D" w:rsidRDefault="005F6814" w:rsidP="00F9645E">
            <w:pPr>
              <w:pStyle w:val="BulletLevel1"/>
              <w:numPr>
                <w:ilvl w:val="0"/>
                <w:numId w:val="35"/>
              </w:numPr>
            </w:pPr>
            <w:r>
              <w:t>91%</w:t>
            </w:r>
            <w:r w:rsidR="00B420B8">
              <w:t xml:space="preserve"> of </w:t>
            </w:r>
            <w:r>
              <w:t xml:space="preserve">agencies had dedicated resources in place to support the implementation of </w:t>
            </w:r>
            <w:r w:rsidR="009251B0">
              <w:t>their agency gender equality strategy and/or action plan</w:t>
            </w:r>
            <w:r>
              <w:t>.</w:t>
            </w:r>
          </w:p>
          <w:p w14:paraId="1DC1711D" w14:textId="702819C5" w:rsidR="005F6814" w:rsidRDefault="009251B0" w:rsidP="00F9645E">
            <w:pPr>
              <w:pStyle w:val="BulletLevel1"/>
              <w:numPr>
                <w:ilvl w:val="0"/>
                <w:numId w:val="35"/>
              </w:numPr>
            </w:pPr>
            <w:r>
              <w:t>9</w:t>
            </w:r>
            <w:r w:rsidR="0031176D">
              <w:t>4% of agencies had governance to support the implementation of</w:t>
            </w:r>
            <w:r>
              <w:t xml:space="preserve"> their agency gender equality strategy and/or action plan.</w:t>
            </w:r>
          </w:p>
        </w:tc>
      </w:tr>
      <w:tr w:rsidR="005F6814" w14:paraId="2A5AEDF1" w14:textId="77777777" w:rsidTr="001721A3">
        <w:trPr>
          <w:trHeight w:val="1827"/>
        </w:trPr>
        <w:tc>
          <w:tcPr>
            <w:tcW w:w="3428" w:type="dxa"/>
            <w:shd w:val="clear" w:color="auto" w:fill="auto"/>
          </w:tcPr>
          <w:p w14:paraId="0080BDF4" w14:textId="77777777" w:rsidR="005F6814" w:rsidRDefault="005F6814" w:rsidP="005F6814">
            <w:r>
              <w:rPr>
                <w:b/>
              </w:rPr>
              <w:lastRenderedPageBreak/>
              <w:t>(</w:t>
            </w:r>
            <w:r w:rsidRPr="00700A07">
              <w:rPr>
                <w:b/>
              </w:rPr>
              <w:t xml:space="preserve">Minimum standard) </w:t>
            </w:r>
            <w:r w:rsidRPr="00BE187E">
              <w:t>Agencies include their commitment to gender equality and inclusion in induction and recruitment materials</w:t>
            </w:r>
            <w:r w:rsidRPr="00BF61AB">
              <w:t>, including roles and expectations of all employees.</w:t>
            </w:r>
          </w:p>
          <w:p w14:paraId="78FB6438" w14:textId="076D2067" w:rsidR="005F6814" w:rsidRPr="000F65DC" w:rsidRDefault="005F6814" w:rsidP="005F6814"/>
        </w:tc>
        <w:tc>
          <w:tcPr>
            <w:tcW w:w="1257" w:type="dxa"/>
            <w:shd w:val="clear" w:color="auto" w:fill="auto"/>
          </w:tcPr>
          <w:p w14:paraId="5F40A5F6" w14:textId="77777777" w:rsidR="005F6814" w:rsidRPr="00CB1F5C" w:rsidRDefault="005F6814" w:rsidP="005F6814">
            <w:pPr>
              <w:rPr>
                <w:b/>
              </w:rPr>
            </w:pPr>
            <w:r>
              <w:rPr>
                <w:b/>
              </w:rPr>
              <w:t>Progress made</w:t>
            </w:r>
          </w:p>
        </w:tc>
        <w:tc>
          <w:tcPr>
            <w:tcW w:w="4375" w:type="dxa"/>
            <w:shd w:val="clear" w:color="auto" w:fill="auto"/>
          </w:tcPr>
          <w:p w14:paraId="4E2BC4AE" w14:textId="142A02AA" w:rsidR="005F6814" w:rsidRDefault="0022658F" w:rsidP="00F9645E">
            <w:pPr>
              <w:pStyle w:val="BulletLevel1"/>
              <w:numPr>
                <w:ilvl w:val="0"/>
                <w:numId w:val="34"/>
              </w:numPr>
              <w:spacing w:before="0"/>
              <w:ind w:left="357" w:hanging="357"/>
            </w:pPr>
            <w:r>
              <w:t>7</w:t>
            </w:r>
            <w:r w:rsidR="000301D3">
              <w:t>5</w:t>
            </w:r>
            <w:r>
              <w:t>%</w:t>
            </w:r>
            <w:r w:rsidR="005F6814">
              <w:t xml:space="preserve"> of agencies provided details of their commitment to gender equality and inclusion in their recruitment materials</w:t>
            </w:r>
            <w:r>
              <w:t xml:space="preserve">, while </w:t>
            </w:r>
            <w:r w:rsidR="000301D3">
              <w:t>60</w:t>
            </w:r>
            <w:r>
              <w:t>% provided these details in their</w:t>
            </w:r>
            <w:r w:rsidR="005F6814">
              <w:t xml:space="preserve"> induction materials.</w:t>
            </w:r>
          </w:p>
          <w:p w14:paraId="002519C9" w14:textId="77777777" w:rsidR="005F6814" w:rsidRDefault="005F6814" w:rsidP="005F6814">
            <w:pPr>
              <w:pStyle w:val="BulletLevel1"/>
            </w:pPr>
          </w:p>
        </w:tc>
      </w:tr>
      <w:tr w:rsidR="005F6814" w14:paraId="6E7CEDD6" w14:textId="77777777" w:rsidTr="001721A3">
        <w:trPr>
          <w:trHeight w:val="3812"/>
        </w:trPr>
        <w:tc>
          <w:tcPr>
            <w:tcW w:w="3428" w:type="dxa"/>
            <w:shd w:val="clear" w:color="auto" w:fill="auto"/>
          </w:tcPr>
          <w:p w14:paraId="7D66F9AF" w14:textId="77777777" w:rsidR="005F6814" w:rsidRDefault="005F6814" w:rsidP="005F6814">
            <w:r w:rsidRPr="0091688C">
              <w:rPr>
                <w:b/>
              </w:rPr>
              <w:t xml:space="preserve">1A </w:t>
            </w:r>
            <w:r>
              <w:t>Secretaries and Agency Heads will be accountable for implementing the Strategy and will consider options to demonstrate their commitment.</w:t>
            </w:r>
          </w:p>
          <w:p w14:paraId="7285B392" w14:textId="77777777" w:rsidR="005F6814" w:rsidRPr="004937DD" w:rsidRDefault="005F6814" w:rsidP="005F6814">
            <w:pPr>
              <w:rPr>
                <w:b/>
              </w:rPr>
            </w:pPr>
          </w:p>
        </w:tc>
        <w:tc>
          <w:tcPr>
            <w:tcW w:w="1257" w:type="dxa"/>
            <w:shd w:val="clear" w:color="auto" w:fill="auto"/>
          </w:tcPr>
          <w:p w14:paraId="0E46D1C4" w14:textId="77777777" w:rsidR="005F6814" w:rsidRPr="00CB1F5C" w:rsidRDefault="005F6814" w:rsidP="005F6814">
            <w:pPr>
              <w:rPr>
                <w:b/>
              </w:rPr>
            </w:pPr>
            <w:r>
              <w:rPr>
                <w:b/>
              </w:rPr>
              <w:t>Progress made</w:t>
            </w:r>
            <w:r w:rsidRPr="00CB1F5C">
              <w:rPr>
                <w:b/>
              </w:rPr>
              <w:t xml:space="preserve"> </w:t>
            </w:r>
          </w:p>
        </w:tc>
        <w:tc>
          <w:tcPr>
            <w:tcW w:w="4375" w:type="dxa"/>
            <w:shd w:val="clear" w:color="auto" w:fill="auto"/>
          </w:tcPr>
          <w:p w14:paraId="046FB9D6" w14:textId="6E0B16BE" w:rsidR="008A2EE3" w:rsidRDefault="008A2EE3" w:rsidP="00F9645E">
            <w:pPr>
              <w:pStyle w:val="BulletLevel1"/>
              <w:numPr>
                <w:ilvl w:val="0"/>
                <w:numId w:val="34"/>
              </w:numPr>
              <w:spacing w:before="0"/>
            </w:pPr>
            <w:r>
              <w:t>Secretaries and Agency Heads are accountable for implementing the Strategy. In regards to progress towards implementation:</w:t>
            </w:r>
          </w:p>
          <w:p w14:paraId="4DEA0B11" w14:textId="6AC4FF45" w:rsidR="005F6814" w:rsidRDefault="005F6814" w:rsidP="00F9645E">
            <w:pPr>
              <w:pStyle w:val="BulletLevel1"/>
              <w:numPr>
                <w:ilvl w:val="1"/>
                <w:numId w:val="34"/>
              </w:numPr>
              <w:spacing w:before="0"/>
            </w:pPr>
            <w:r>
              <w:t>81% of agencies</w:t>
            </w:r>
            <w:r w:rsidRPr="00C23676">
              <w:t xml:space="preserve"> reported being at the ‘establishing’ level or above</w:t>
            </w:r>
            <w:r>
              <w:t xml:space="preserve"> in 2023</w:t>
            </w:r>
            <w:r w:rsidR="00732D66">
              <w:t xml:space="preserve">. This means that they </w:t>
            </w:r>
            <w:r w:rsidR="003567E2">
              <w:t xml:space="preserve">reported being </w:t>
            </w:r>
            <w:r>
              <w:t>on track to meet some Strategy deliverables by 2026.</w:t>
            </w:r>
          </w:p>
          <w:p w14:paraId="26B7743A" w14:textId="77777777" w:rsidR="005F6814" w:rsidRDefault="005F6814" w:rsidP="00F9645E">
            <w:pPr>
              <w:pStyle w:val="BulletLevel1"/>
              <w:numPr>
                <w:ilvl w:val="1"/>
                <w:numId w:val="34"/>
              </w:numPr>
            </w:pPr>
            <w:r>
              <w:t>Smaller agencies were most likely to reported difficulties meeting deliverables.</w:t>
            </w:r>
          </w:p>
          <w:p w14:paraId="66F2A1DF" w14:textId="77777777" w:rsidR="005F6814" w:rsidRDefault="005F6814" w:rsidP="00F9645E">
            <w:pPr>
              <w:pStyle w:val="BulletLevel1"/>
              <w:numPr>
                <w:ilvl w:val="1"/>
                <w:numId w:val="34"/>
              </w:numPr>
            </w:pPr>
            <w:r>
              <w:t>18% of agencies reported a likelihood of meeting 10 or more deliverables in 2023, up from 6% in 2022.</w:t>
            </w:r>
          </w:p>
          <w:p w14:paraId="735E827E" w14:textId="77777777" w:rsidR="005F6814" w:rsidRDefault="0008322A" w:rsidP="00F9645E">
            <w:pPr>
              <w:pStyle w:val="BulletLevel1"/>
              <w:numPr>
                <w:ilvl w:val="1"/>
                <w:numId w:val="34"/>
              </w:numPr>
            </w:pPr>
            <w:r>
              <w:t>Overall, t</w:t>
            </w:r>
            <w:r w:rsidR="0001311E">
              <w:t>here was r</w:t>
            </w:r>
            <w:r w:rsidR="005F6814">
              <w:t xml:space="preserve">oom for improvement in </w:t>
            </w:r>
            <w:r w:rsidR="0001311E">
              <w:t xml:space="preserve">the </w:t>
            </w:r>
            <w:r w:rsidR="005F6814">
              <w:t>number of deliverables implemented by agencies.</w:t>
            </w:r>
          </w:p>
          <w:p w14:paraId="0538C8D3" w14:textId="39D9CB71" w:rsidR="005F6814" w:rsidRDefault="005F6814" w:rsidP="006E644B">
            <w:pPr>
              <w:pStyle w:val="BulletLevel1"/>
              <w:ind w:left="0" w:firstLine="0"/>
            </w:pPr>
          </w:p>
        </w:tc>
      </w:tr>
      <w:tr w:rsidR="005F6814" w14:paraId="563B4004" w14:textId="77777777" w:rsidTr="001721A3">
        <w:tc>
          <w:tcPr>
            <w:tcW w:w="3428" w:type="dxa"/>
            <w:shd w:val="clear" w:color="auto" w:fill="auto"/>
          </w:tcPr>
          <w:p w14:paraId="16AF2ED9" w14:textId="622CB2D9" w:rsidR="005F6814" w:rsidRDefault="005F6814" w:rsidP="005F6814">
            <w:r w:rsidRPr="0091688C">
              <w:rPr>
                <w:b/>
              </w:rPr>
              <w:t xml:space="preserve">1B </w:t>
            </w:r>
            <w:r>
              <w:t>Leaders, at all levels, will engage with employees about the Strategy and discuss ways everyone will contribute to ensure there is both individual and collective accountability. A focus on inclusive behaviours is important to promote gender equality and will lead to a positive workplace culture for all genders.</w:t>
            </w:r>
          </w:p>
          <w:p w14:paraId="792277DD" w14:textId="77777777" w:rsidR="005F6814" w:rsidRPr="004937DD" w:rsidRDefault="005F6814" w:rsidP="005F6814">
            <w:pPr>
              <w:rPr>
                <w:b/>
              </w:rPr>
            </w:pPr>
          </w:p>
        </w:tc>
        <w:tc>
          <w:tcPr>
            <w:tcW w:w="1257" w:type="dxa"/>
            <w:shd w:val="clear" w:color="auto" w:fill="auto"/>
          </w:tcPr>
          <w:p w14:paraId="3A5D44BC" w14:textId="77777777" w:rsidR="005F6814" w:rsidRPr="00CB1F5C" w:rsidRDefault="005F6814" w:rsidP="005F6814">
            <w:pPr>
              <w:rPr>
                <w:b/>
              </w:rPr>
            </w:pPr>
            <w:r>
              <w:rPr>
                <w:b/>
              </w:rPr>
              <w:t>Progress made</w:t>
            </w:r>
          </w:p>
        </w:tc>
        <w:tc>
          <w:tcPr>
            <w:tcW w:w="4375" w:type="dxa"/>
            <w:shd w:val="clear" w:color="auto" w:fill="auto"/>
          </w:tcPr>
          <w:p w14:paraId="2722A60F" w14:textId="77777777" w:rsidR="005F6814" w:rsidRDefault="005F6814" w:rsidP="00F9645E">
            <w:pPr>
              <w:pStyle w:val="BulletLevel1"/>
              <w:numPr>
                <w:ilvl w:val="0"/>
                <w:numId w:val="34"/>
              </w:numPr>
              <w:spacing w:before="0"/>
              <w:ind w:left="357" w:hanging="357"/>
            </w:pPr>
            <w:r>
              <w:t>60% of agencies reported their leaders had spoken about gender equality at public engagements.</w:t>
            </w:r>
          </w:p>
          <w:p w14:paraId="50EAAEA8" w14:textId="161C15D3" w:rsidR="005F6814" w:rsidRDefault="005F6814" w:rsidP="00F9645E">
            <w:pPr>
              <w:pStyle w:val="BulletLevel1"/>
              <w:numPr>
                <w:ilvl w:val="0"/>
                <w:numId w:val="34"/>
              </w:numPr>
            </w:pPr>
            <w:r>
              <w:t>Most agencies were able to demonstrate examples of leader commitment to gender equality through actions and/or words</w:t>
            </w:r>
            <w:r w:rsidR="00B61D29">
              <w:t>, however it was d</w:t>
            </w:r>
            <w:r>
              <w:t xml:space="preserve">ifficult to determine if this </w:t>
            </w:r>
            <w:r w:rsidR="00C2338C">
              <w:t>was</w:t>
            </w:r>
            <w:r>
              <w:t xml:space="preserve"> occurring across all </w:t>
            </w:r>
            <w:r w:rsidR="00C2338C">
              <w:t>the leadership of an agency</w:t>
            </w:r>
            <w:r>
              <w:t>.</w:t>
            </w:r>
          </w:p>
        </w:tc>
      </w:tr>
      <w:tr w:rsidR="005F6814" w14:paraId="3E569062" w14:textId="77777777" w:rsidTr="001721A3">
        <w:tc>
          <w:tcPr>
            <w:tcW w:w="3428" w:type="dxa"/>
            <w:shd w:val="clear" w:color="auto" w:fill="auto"/>
          </w:tcPr>
          <w:p w14:paraId="794D4361" w14:textId="295B07CE" w:rsidR="005F6814" w:rsidRDefault="005F6814" w:rsidP="005F6814">
            <w:r w:rsidRPr="0091688C">
              <w:rPr>
                <w:b/>
              </w:rPr>
              <w:t>1C</w:t>
            </w:r>
            <w:r>
              <w:t xml:space="preserve"> Informed by data and the diverse experience of employees, agencies will seek to understand the gender imbalances (across all levels), the drivers that underpin them and will consider whether </w:t>
            </w:r>
            <w:r>
              <w:lastRenderedPageBreak/>
              <w:t>specific targets are an appropriate method to drive action and provide incentive for change.</w:t>
            </w:r>
          </w:p>
          <w:p w14:paraId="23365A60" w14:textId="77777777" w:rsidR="005F6814" w:rsidRPr="004937DD" w:rsidRDefault="005F6814" w:rsidP="005F6814">
            <w:pPr>
              <w:rPr>
                <w:b/>
              </w:rPr>
            </w:pPr>
          </w:p>
        </w:tc>
        <w:tc>
          <w:tcPr>
            <w:tcW w:w="1257" w:type="dxa"/>
            <w:shd w:val="clear" w:color="auto" w:fill="auto"/>
          </w:tcPr>
          <w:p w14:paraId="7735CC78" w14:textId="77777777" w:rsidR="005F6814" w:rsidRPr="00CB1F5C" w:rsidRDefault="005F6814" w:rsidP="005F6814">
            <w:pPr>
              <w:rPr>
                <w:b/>
              </w:rPr>
            </w:pPr>
            <w:r>
              <w:rPr>
                <w:b/>
              </w:rPr>
              <w:lastRenderedPageBreak/>
              <w:t>Progress made</w:t>
            </w:r>
            <w:r w:rsidRPr="00CB1F5C">
              <w:rPr>
                <w:b/>
              </w:rPr>
              <w:t xml:space="preserve"> </w:t>
            </w:r>
          </w:p>
        </w:tc>
        <w:tc>
          <w:tcPr>
            <w:tcW w:w="4375" w:type="dxa"/>
            <w:shd w:val="clear" w:color="auto" w:fill="auto"/>
          </w:tcPr>
          <w:p w14:paraId="65F20F41" w14:textId="77777777" w:rsidR="005F6814" w:rsidRDefault="005F6814" w:rsidP="00F9645E">
            <w:pPr>
              <w:pStyle w:val="BulletLevel1"/>
              <w:numPr>
                <w:ilvl w:val="0"/>
                <w:numId w:val="34"/>
              </w:numPr>
              <w:spacing w:before="0"/>
              <w:ind w:left="357" w:hanging="357"/>
            </w:pPr>
            <w:r>
              <w:t xml:space="preserve">Since the launch of the Strategy, 60% of agencies reported that they have increased their </w:t>
            </w:r>
            <w:r w:rsidRPr="00694E9E">
              <w:t>capabil</w:t>
            </w:r>
            <w:r>
              <w:t>ity to collect and analyse high-</w:t>
            </w:r>
            <w:r w:rsidRPr="00694E9E">
              <w:t>level gender data</w:t>
            </w:r>
            <w:r>
              <w:t>.</w:t>
            </w:r>
          </w:p>
          <w:p w14:paraId="6507429B" w14:textId="77777777" w:rsidR="005F6814" w:rsidRDefault="00C43D1D" w:rsidP="00F9645E">
            <w:pPr>
              <w:pStyle w:val="BulletLevel1"/>
              <w:numPr>
                <w:ilvl w:val="0"/>
                <w:numId w:val="36"/>
              </w:numPr>
            </w:pPr>
            <w:r>
              <w:t>Most</w:t>
            </w:r>
            <w:r w:rsidR="005F6814">
              <w:t xml:space="preserve"> agencies tracked gender imbalances across classifications (92%), </w:t>
            </w:r>
            <w:r>
              <w:t xml:space="preserve">while many </w:t>
            </w:r>
            <w:r>
              <w:lastRenderedPageBreak/>
              <w:t xml:space="preserve">tracked this across </w:t>
            </w:r>
            <w:r w:rsidR="005F6814">
              <w:t>geographical locations (72%) and job types (62%).</w:t>
            </w:r>
          </w:p>
          <w:p w14:paraId="12400D9A" w14:textId="16F4B45B" w:rsidR="00FA1474" w:rsidRDefault="00FA1474" w:rsidP="00F9645E">
            <w:pPr>
              <w:pStyle w:val="BulletLevel1"/>
              <w:numPr>
                <w:ilvl w:val="0"/>
                <w:numId w:val="36"/>
              </w:numPr>
            </w:pPr>
            <w:r>
              <w:t>(See Action 5A for more details.)</w:t>
            </w:r>
          </w:p>
        </w:tc>
      </w:tr>
    </w:tbl>
    <w:p w14:paraId="4F268270" w14:textId="7D5EF24E" w:rsidR="00351505" w:rsidRDefault="00CB4D97" w:rsidP="000A6DD6">
      <w:pPr>
        <w:pStyle w:val="Heading2"/>
      </w:pPr>
      <w:bookmarkStart w:id="279" w:name="_Toc165991650"/>
      <w:bookmarkStart w:id="280" w:name="_Toc166082948"/>
      <w:bookmarkStart w:id="281" w:name="_Toc166160312"/>
      <w:bookmarkStart w:id="282" w:name="_Toc166168011"/>
      <w:bookmarkStart w:id="283" w:name="_Toc168329168"/>
      <w:bookmarkStart w:id="284" w:name="_Toc168322825"/>
      <w:bookmarkStart w:id="285" w:name="_Toc168387941"/>
      <w:bookmarkStart w:id="286" w:name="_Toc168405596"/>
      <w:bookmarkStart w:id="287" w:name="_Toc168408634"/>
      <w:bookmarkStart w:id="288" w:name="_Toc168411035"/>
      <w:bookmarkStart w:id="289" w:name="_Toc168405895"/>
      <w:bookmarkStart w:id="290" w:name="_Toc168473703"/>
      <w:bookmarkStart w:id="291" w:name="_Toc168471601"/>
      <w:bookmarkStart w:id="292" w:name="_Toc168484661"/>
      <w:bookmarkStart w:id="293" w:name="_Toc168495130"/>
      <w:bookmarkStart w:id="294" w:name="_Toc168495579"/>
      <w:bookmarkStart w:id="295" w:name="_Toc169103247"/>
      <w:bookmarkStart w:id="296" w:name="_Toc169104721"/>
      <w:bookmarkStart w:id="297" w:name="_Toc169278437"/>
      <w:bookmarkStart w:id="298" w:name="_Toc169536876"/>
      <w:bookmarkStart w:id="299" w:name="_Toc169708626"/>
      <w:bookmarkStart w:id="300" w:name="_Toc170119670"/>
      <w:bookmarkStart w:id="301" w:name="_Toc170138053"/>
      <w:bookmarkStart w:id="302" w:name="_Toc170140126"/>
      <w:bookmarkStart w:id="303" w:name="_Toc181715724"/>
      <w:r>
        <w:lastRenderedPageBreak/>
        <w:t>A</w:t>
      </w:r>
      <w:r w:rsidR="000A6DD6">
        <w:t>gency commitment to the Strategy</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A8555C2" w14:textId="4DB3C960" w:rsidR="00195504" w:rsidRDefault="00CE299B" w:rsidP="00495006">
      <w:pPr>
        <w:pStyle w:val="Heading3"/>
      </w:pPr>
      <w:bookmarkStart w:id="304" w:name="_Toc165991651"/>
      <w:bookmarkStart w:id="305" w:name="_Toc166082949"/>
      <w:bookmarkStart w:id="306" w:name="_Toc166160313"/>
      <w:bookmarkStart w:id="307" w:name="_Toc166168012"/>
      <w:bookmarkStart w:id="308" w:name="_Toc168329169"/>
      <w:bookmarkStart w:id="309" w:name="_Toc168322826"/>
      <w:bookmarkStart w:id="310" w:name="_Toc168387942"/>
      <w:bookmarkStart w:id="311" w:name="_Toc168405597"/>
      <w:bookmarkStart w:id="312" w:name="_Toc168408635"/>
      <w:bookmarkStart w:id="313" w:name="_Toc168411036"/>
      <w:bookmarkStart w:id="314" w:name="_Toc168405896"/>
      <w:bookmarkStart w:id="315" w:name="_Toc168473704"/>
      <w:bookmarkStart w:id="316" w:name="_Toc168471602"/>
      <w:bookmarkStart w:id="317" w:name="_Toc168484662"/>
      <w:bookmarkStart w:id="318" w:name="_Toc168495131"/>
      <w:bookmarkStart w:id="319" w:name="_Toc168495580"/>
      <w:bookmarkStart w:id="320" w:name="_Toc169103248"/>
      <w:bookmarkStart w:id="321" w:name="_Toc169104722"/>
      <w:bookmarkStart w:id="322" w:name="_Toc169278438"/>
      <w:bookmarkStart w:id="323" w:name="_Toc169536877"/>
      <w:bookmarkStart w:id="324" w:name="_Toc169708627"/>
      <w:bookmarkStart w:id="325" w:name="_Toc170119671"/>
      <w:bookmarkStart w:id="326" w:name="_Toc170138054"/>
      <w:bookmarkStart w:id="327" w:name="_Toc170140127"/>
      <w:r>
        <w:t>Self-rated l</w:t>
      </w:r>
      <w:r w:rsidR="00495006">
        <w:t>evel of commitment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911CD1A" w14:textId="42BE4D71" w:rsidR="006E6E4C" w:rsidRDefault="00E902D2" w:rsidP="000A6DD6">
      <w:r>
        <w:t>A</w:t>
      </w:r>
      <w:r w:rsidR="00FA0CAD">
        <w:t xml:space="preserve">gencies </w:t>
      </w:r>
      <w:r w:rsidR="00CE299B">
        <w:t xml:space="preserve">were asked to </w:t>
      </w:r>
      <w:r w:rsidR="00FA0CAD">
        <w:t>self-</w:t>
      </w:r>
      <w:r w:rsidR="006E6E4C">
        <w:t>rate their maturity in implementing the Strategy</w:t>
      </w:r>
      <w:r>
        <w:t xml:space="preserve"> through the </w:t>
      </w:r>
      <w:r w:rsidR="008C64F2">
        <w:t xml:space="preserve">2023 </w:t>
      </w:r>
      <w:r>
        <w:t>APS Agency Survey</w:t>
      </w:r>
      <w:r w:rsidR="00E133B2">
        <w:t>. T</w:t>
      </w:r>
      <w:r w:rsidR="006E6E4C">
        <w:t xml:space="preserve">he </w:t>
      </w:r>
      <w:r w:rsidR="00FA0CAD">
        <w:t xml:space="preserve">following </w:t>
      </w:r>
      <w:r w:rsidR="006E6E4C">
        <w:t>scale</w:t>
      </w:r>
      <w:r w:rsidR="00E133B2">
        <w:t xml:space="preserve"> was used</w:t>
      </w:r>
      <w:r w:rsidR="006E6E4C">
        <w:t>:</w:t>
      </w:r>
    </w:p>
    <w:p w14:paraId="4E550B9C" w14:textId="1E456862" w:rsidR="006E6E4C" w:rsidRPr="006E6E4C" w:rsidRDefault="006E6E4C" w:rsidP="00F9645E">
      <w:pPr>
        <w:pStyle w:val="BulletLevel1"/>
        <w:numPr>
          <w:ilvl w:val="0"/>
          <w:numId w:val="45"/>
        </w:numPr>
      </w:pPr>
      <w:r w:rsidRPr="001115F3">
        <w:rPr>
          <w:b/>
        </w:rPr>
        <w:t>Entry Level</w:t>
      </w:r>
      <w:r w:rsidR="007B41C6" w:rsidRPr="007B41C6">
        <w:rPr>
          <w:b/>
        </w:rPr>
        <w:t>:</w:t>
      </w:r>
      <w:r w:rsidRPr="006E6E4C">
        <w:t xml:space="preserve"> </w:t>
      </w:r>
      <w:r w:rsidR="007B41C6">
        <w:t>a</w:t>
      </w:r>
      <w:r w:rsidRPr="006E6E4C">
        <w:t xml:space="preserve">gency is currently trying to comprehend the </w:t>
      </w:r>
      <w:r w:rsidR="009F6890">
        <w:t>S</w:t>
      </w:r>
      <w:r w:rsidRPr="006E6E4C">
        <w:t>trategy and specific actions that relate to it</w:t>
      </w:r>
      <w:r>
        <w:t>.</w:t>
      </w:r>
    </w:p>
    <w:p w14:paraId="7BDEC221" w14:textId="131A5A44" w:rsidR="006E6E4C" w:rsidRPr="006E6E4C" w:rsidRDefault="006E6E4C" w:rsidP="00F9645E">
      <w:pPr>
        <w:pStyle w:val="BulletLevel1"/>
        <w:numPr>
          <w:ilvl w:val="0"/>
          <w:numId w:val="45"/>
        </w:numPr>
      </w:pPr>
      <w:r w:rsidRPr="001115F3">
        <w:rPr>
          <w:b/>
        </w:rPr>
        <w:t>Emerging</w:t>
      </w:r>
      <w:r w:rsidR="007B41C6" w:rsidRPr="007B41C6">
        <w:rPr>
          <w:b/>
        </w:rPr>
        <w:t>:</w:t>
      </w:r>
      <w:r w:rsidR="007B41C6">
        <w:t xml:space="preserve"> a</w:t>
      </w:r>
      <w:r w:rsidRPr="006E6E4C">
        <w:t xml:space="preserve">gency can demonstrate compliance with </w:t>
      </w:r>
      <w:r w:rsidR="009F6890">
        <w:t>S</w:t>
      </w:r>
      <w:r w:rsidRPr="006E6E4C">
        <w:t>trategy deliverable requirements, but may experience implementation setbacks they need assistance with</w:t>
      </w:r>
      <w:r>
        <w:t>.</w:t>
      </w:r>
    </w:p>
    <w:p w14:paraId="58E9E311" w14:textId="04B63E49" w:rsidR="006E6E4C" w:rsidRPr="006E6E4C" w:rsidRDefault="006E6E4C" w:rsidP="00F9645E">
      <w:pPr>
        <w:pStyle w:val="BulletLevel1"/>
        <w:numPr>
          <w:ilvl w:val="0"/>
          <w:numId w:val="45"/>
        </w:numPr>
      </w:pPr>
      <w:r w:rsidRPr="001115F3">
        <w:rPr>
          <w:b/>
        </w:rPr>
        <w:t>Establishing</w:t>
      </w:r>
      <w:r w:rsidR="007B41C6">
        <w:rPr>
          <w:b/>
        </w:rPr>
        <w:t>:</w:t>
      </w:r>
      <w:r w:rsidRPr="006E6E4C">
        <w:t xml:space="preserve"> </w:t>
      </w:r>
      <w:r w:rsidR="007B41C6">
        <w:t>a</w:t>
      </w:r>
      <w:r w:rsidRPr="006E6E4C">
        <w:t xml:space="preserve">gency has a clear understanding of the value of diversity and inclusion, and are developing systems/policies/practices to meet </w:t>
      </w:r>
      <w:r w:rsidR="009F6890">
        <w:t>S</w:t>
      </w:r>
      <w:r w:rsidRPr="006E6E4C">
        <w:t>trategy deliverables</w:t>
      </w:r>
      <w:r>
        <w:t>.</w:t>
      </w:r>
    </w:p>
    <w:p w14:paraId="6F5F02A2" w14:textId="74C17F9E" w:rsidR="006E6E4C" w:rsidRPr="006E6E4C" w:rsidRDefault="006E6E4C" w:rsidP="00F9645E">
      <w:pPr>
        <w:pStyle w:val="BulletLevel1"/>
        <w:numPr>
          <w:ilvl w:val="0"/>
          <w:numId w:val="45"/>
        </w:numPr>
      </w:pPr>
      <w:r w:rsidRPr="001115F3">
        <w:rPr>
          <w:b/>
        </w:rPr>
        <w:t>Embedding</w:t>
      </w:r>
      <w:r w:rsidR="007B41C6">
        <w:rPr>
          <w:b/>
        </w:rPr>
        <w:t>:</w:t>
      </w:r>
      <w:r w:rsidRPr="006E6E4C">
        <w:t xml:space="preserve"> </w:t>
      </w:r>
      <w:r w:rsidR="007B41C6">
        <w:t>a</w:t>
      </w:r>
      <w:r w:rsidRPr="006E6E4C">
        <w:t xml:space="preserve">gency is able to challenge existing systems and can demonstrate they can improve systems/policies/practices to meet or exceed </w:t>
      </w:r>
      <w:r w:rsidR="009F6890">
        <w:t>S</w:t>
      </w:r>
      <w:r w:rsidRPr="006E6E4C">
        <w:t>trategy deliverables</w:t>
      </w:r>
      <w:r>
        <w:t>.</w:t>
      </w:r>
    </w:p>
    <w:p w14:paraId="3A95385E" w14:textId="6D4694EE" w:rsidR="006E6E4C" w:rsidRPr="006E6E4C" w:rsidRDefault="006E6E4C" w:rsidP="00F9645E">
      <w:pPr>
        <w:pStyle w:val="BulletLevel1"/>
        <w:numPr>
          <w:ilvl w:val="0"/>
          <w:numId w:val="45"/>
        </w:numPr>
      </w:pPr>
      <w:r w:rsidRPr="001115F3">
        <w:rPr>
          <w:b/>
        </w:rPr>
        <w:t>Educator</w:t>
      </w:r>
      <w:r w:rsidR="007B41C6">
        <w:rPr>
          <w:b/>
        </w:rPr>
        <w:t>:</w:t>
      </w:r>
      <w:r w:rsidRPr="00810541">
        <w:t xml:space="preserve"> </w:t>
      </w:r>
      <w:r w:rsidR="007B41C6">
        <w:t>a</w:t>
      </w:r>
      <w:r w:rsidRPr="00810541">
        <w:t xml:space="preserve">gency can meet or exceed </w:t>
      </w:r>
      <w:r w:rsidR="009F6890">
        <w:t>S</w:t>
      </w:r>
      <w:r w:rsidRPr="00810541">
        <w:t>trategy deliverables, is able to identify and share their lessons, engage with other agencies</w:t>
      </w:r>
      <w:r w:rsidR="005B5ED1">
        <w:t>,</w:t>
      </w:r>
      <w:r w:rsidRPr="00810541">
        <w:t xml:space="preserve"> and provide them with guidance on diversity and inclusion programs, activities and outcomes</w:t>
      </w:r>
      <w:r>
        <w:t>.</w:t>
      </w:r>
    </w:p>
    <w:p w14:paraId="37830E0F" w14:textId="6D4C55D0" w:rsidR="00810541" w:rsidRDefault="00AA6AFF" w:rsidP="00810541">
      <w:pPr>
        <w:pStyle w:val="BulletLevel1"/>
        <w:ind w:left="0" w:firstLine="0"/>
      </w:pPr>
      <w:r>
        <w:t>R</w:t>
      </w:r>
      <w:r w:rsidR="00F4514F">
        <w:t>esults</w:t>
      </w:r>
      <w:r w:rsidR="001C3875" w:rsidRPr="00810541">
        <w:t xml:space="preserve"> </w:t>
      </w:r>
      <w:r w:rsidR="006E6E4C" w:rsidRPr="00810541">
        <w:t>showed that</w:t>
      </w:r>
      <w:r w:rsidR="001C3875" w:rsidRPr="00810541">
        <w:t xml:space="preserve"> in 2023</w:t>
      </w:r>
      <w:r w:rsidR="008F2283" w:rsidRPr="00810541">
        <w:t>,</w:t>
      </w:r>
      <w:r w:rsidR="006E6E4C" w:rsidRPr="00810541">
        <w:t xml:space="preserve"> </w:t>
      </w:r>
      <w:r w:rsidR="001C3875" w:rsidRPr="00810541">
        <w:t xml:space="preserve">81% reported being at the </w:t>
      </w:r>
      <w:r w:rsidR="000A796C" w:rsidRPr="00810541">
        <w:t>‘</w:t>
      </w:r>
      <w:r w:rsidR="001C3875" w:rsidRPr="00810541">
        <w:t>establishing</w:t>
      </w:r>
      <w:r w:rsidR="000A796C" w:rsidRPr="00810541">
        <w:t>’</w:t>
      </w:r>
      <w:r w:rsidR="001C3875" w:rsidRPr="00810541">
        <w:t xml:space="preserve"> level or above</w:t>
      </w:r>
      <w:r w:rsidR="0068304C">
        <w:t xml:space="preserve"> and are</w:t>
      </w:r>
      <w:r w:rsidR="007E38C4" w:rsidRPr="00810541">
        <w:t xml:space="preserve"> on track to meet</w:t>
      </w:r>
      <w:r w:rsidR="00E133B2" w:rsidRPr="00810541">
        <w:t xml:space="preserve"> </w:t>
      </w:r>
      <w:r w:rsidR="009F6890">
        <w:t>S</w:t>
      </w:r>
      <w:r w:rsidR="001C3875" w:rsidRPr="00810541">
        <w:t xml:space="preserve">trategy deliverables by 2026. This </w:t>
      </w:r>
      <w:r w:rsidR="00E133B2" w:rsidRPr="00810541">
        <w:t>had improved considerably</w:t>
      </w:r>
      <w:r w:rsidR="001C3875" w:rsidRPr="00810541">
        <w:t xml:space="preserve"> since </w:t>
      </w:r>
      <w:r w:rsidR="006507ED" w:rsidRPr="00810541">
        <w:t xml:space="preserve">the </w:t>
      </w:r>
      <w:r w:rsidR="00F4514F">
        <w:t xml:space="preserve">Strategy’s first year </w:t>
      </w:r>
      <w:r w:rsidR="001C3875" w:rsidRPr="00810541">
        <w:t xml:space="preserve">with 53% recording the same level of </w:t>
      </w:r>
      <w:r w:rsidR="0068304C">
        <w:t>maturity</w:t>
      </w:r>
      <w:r w:rsidR="0068304C" w:rsidRPr="00810541">
        <w:t xml:space="preserve"> </w:t>
      </w:r>
      <w:r w:rsidR="00F4514F">
        <w:t>in 2021</w:t>
      </w:r>
      <w:r w:rsidR="00282112" w:rsidRPr="00810541" w:rsidDel="00F4514F">
        <w:t xml:space="preserve"> </w:t>
      </w:r>
      <w:r w:rsidR="00282112" w:rsidRPr="00810541">
        <w:t>(</w:t>
      </w:r>
      <w:r w:rsidR="00E74C17">
        <w:fldChar w:fldCharType="begin"/>
      </w:r>
      <w:r w:rsidR="00E74C17">
        <w:instrText xml:space="preserve"> REF _Ref168393661 \h </w:instrText>
      </w:r>
      <w:r w:rsidR="00E74C17">
        <w:fldChar w:fldCharType="separate"/>
      </w:r>
      <w:r w:rsidR="004166B9" w:rsidRPr="00EC0F94">
        <w:t xml:space="preserve">Figure </w:t>
      </w:r>
      <w:r w:rsidR="004166B9">
        <w:rPr>
          <w:noProof/>
        </w:rPr>
        <w:t>2</w:t>
      </w:r>
      <w:r w:rsidR="00E74C17">
        <w:fldChar w:fldCharType="end"/>
      </w:r>
      <w:r w:rsidR="00282112" w:rsidRPr="00810541">
        <w:t>)</w:t>
      </w:r>
      <w:r w:rsidR="001C3875" w:rsidRPr="00810541">
        <w:t>.</w:t>
      </w:r>
      <w:r w:rsidR="00282112" w:rsidRPr="00810541">
        <w:t xml:space="preserve"> </w:t>
      </w:r>
    </w:p>
    <w:p w14:paraId="13D3BCCF" w14:textId="2ECF5948" w:rsidR="00FB63A8" w:rsidRPr="00EC0F94" w:rsidRDefault="00FB63A8" w:rsidP="00761255">
      <w:pPr>
        <w:pStyle w:val="Heading5"/>
      </w:pPr>
      <w:bookmarkStart w:id="328" w:name="_Ref168393661"/>
      <w:bookmarkStart w:id="329" w:name="_Ref166672060"/>
      <w:bookmarkStart w:id="330" w:name="_Toc168405551"/>
      <w:bookmarkStart w:id="331" w:name="_Toc168408700"/>
      <w:bookmarkStart w:id="332" w:name="_Toc168410990"/>
      <w:bookmarkStart w:id="333" w:name="_Toc168405850"/>
      <w:bookmarkStart w:id="334" w:name="_Toc168473658"/>
      <w:bookmarkStart w:id="335" w:name="_Toc168471556"/>
      <w:bookmarkStart w:id="336" w:name="_Toc168484615"/>
      <w:bookmarkStart w:id="337" w:name="_Toc168495084"/>
      <w:bookmarkStart w:id="338" w:name="_Toc168495533"/>
      <w:bookmarkStart w:id="339" w:name="_Toc168586002"/>
      <w:bookmarkStart w:id="340" w:name="_Toc168586437"/>
      <w:bookmarkStart w:id="341" w:name="_Toc169278395"/>
      <w:bookmarkStart w:id="342" w:name="_Toc169536510"/>
      <w:bookmarkStart w:id="343" w:name="_Toc169708591"/>
      <w:bookmarkStart w:id="344" w:name="_Toc170138019"/>
      <w:bookmarkStart w:id="345" w:name="_Toc170140092"/>
      <w:bookmarkStart w:id="346" w:name="_Toc173857124"/>
      <w:r w:rsidRPr="00EC0F94">
        <w:t xml:space="preserve">Figure </w:t>
      </w:r>
      <w:r>
        <w:fldChar w:fldCharType="begin"/>
      </w:r>
      <w:r>
        <w:instrText>SEQ Figure \* ARABIC</w:instrText>
      </w:r>
      <w:r>
        <w:fldChar w:fldCharType="separate"/>
      </w:r>
      <w:r w:rsidR="004166B9">
        <w:rPr>
          <w:noProof/>
        </w:rPr>
        <w:t>2</w:t>
      </w:r>
      <w:r>
        <w:fldChar w:fldCharType="end"/>
      </w:r>
      <w:bookmarkEnd w:id="328"/>
      <w:r w:rsidRPr="00EC0F94">
        <w:t xml:space="preserve"> Agency self-ratin</w:t>
      </w:r>
      <w:r w:rsidR="00062927" w:rsidRPr="00EC0F94">
        <w:t xml:space="preserve">g of </w:t>
      </w:r>
      <w:r w:rsidR="00401F60" w:rsidRPr="00EC0F94">
        <w:t xml:space="preserve">implementation </w:t>
      </w:r>
      <w:r w:rsidR="000F497C">
        <w:t xml:space="preserve">of the </w:t>
      </w:r>
      <w:r w:rsidR="00062927" w:rsidRPr="00EC0F94">
        <w:t>Strategy</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05BF02B2" w14:textId="2403F2FA" w:rsidR="00071756" w:rsidRDefault="00071756" w:rsidP="000A6DD6">
      <w:r>
        <w:rPr>
          <w:noProof/>
          <w:lang w:eastAsia="en-AU"/>
        </w:rPr>
        <w:drawing>
          <wp:inline distT="0" distB="0" distL="0" distR="0" wp14:anchorId="2BEF6471" wp14:editId="24BBDD28">
            <wp:extent cx="5760000" cy="2820670"/>
            <wp:effectExtent l="0" t="0" r="0" b="0"/>
            <wp:docPr id="170548677" name="Chart 170548677" descr="Figure 2 Agency self-rating of implementation of the Strategy" title="Figure 2 Agency self-rating of implementation of the Strateg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A1B3DC" w14:textId="205EB86E" w:rsidR="005662A8" w:rsidRPr="005662A8" w:rsidRDefault="005662A8" w:rsidP="000A6DD6">
      <w:pPr>
        <w:rPr>
          <w:sz w:val="16"/>
          <w:szCs w:val="16"/>
        </w:rPr>
      </w:pPr>
      <w:r w:rsidRPr="005662A8">
        <w:rPr>
          <w:sz w:val="16"/>
          <w:szCs w:val="16"/>
        </w:rPr>
        <w:t>Source: 2021</w:t>
      </w:r>
      <w:r w:rsidR="00AA6AFF">
        <w:rPr>
          <w:sz w:val="16"/>
          <w:szCs w:val="16"/>
        </w:rPr>
        <w:t xml:space="preserve"> </w:t>
      </w:r>
      <w:r>
        <w:rPr>
          <w:sz w:val="16"/>
          <w:szCs w:val="16"/>
        </w:rPr>
        <w:t>APS Agency Survey</w:t>
      </w:r>
      <w:r w:rsidR="00AA6AFF">
        <w:rPr>
          <w:sz w:val="16"/>
          <w:szCs w:val="16"/>
        </w:rPr>
        <w:t>, 2022 APS Agency Survey, and 2023 APS Agency Survey.</w:t>
      </w:r>
    </w:p>
    <w:p w14:paraId="7FDB79B0" w14:textId="746A4DD0" w:rsidR="008464F5" w:rsidRPr="00810541" w:rsidRDefault="008464F5" w:rsidP="008464F5">
      <w:pPr>
        <w:pStyle w:val="BulletLevel1"/>
        <w:ind w:left="0" w:firstLine="0"/>
      </w:pPr>
      <w:r w:rsidRPr="00810541">
        <w:lastRenderedPageBreak/>
        <w:t>Extra-small and small agencies with 250 employees or less, were more likely to report lower self-ratings at entry or emerging levels (32%) compared to larger agencies (9%)</w:t>
      </w:r>
      <w:r w:rsidR="009A70B2">
        <w:t>.</w:t>
      </w:r>
      <w:r w:rsidRPr="00810541">
        <w:t xml:space="preserve"> </w:t>
      </w:r>
      <w:r>
        <w:t>Nonetheless, small agency</w:t>
      </w:r>
      <w:r w:rsidRPr="00810541">
        <w:t xml:space="preserve"> ratings had</w:t>
      </w:r>
      <w:r>
        <w:t xml:space="preserve"> also</w:t>
      </w:r>
      <w:r w:rsidRPr="00810541">
        <w:t xml:space="preserve"> improved significantly since 2021 with double the share of agencies reporting the lower ratings at that time.</w:t>
      </w:r>
    </w:p>
    <w:p w14:paraId="57F58272" w14:textId="1C540E24" w:rsidR="00D40792" w:rsidRDefault="0068304C" w:rsidP="000A6DD6">
      <w:r>
        <w:t>There are 30 actions within the Strategy</w:t>
      </w:r>
      <w:r w:rsidR="00953BE9">
        <w:t xml:space="preserve"> including minimum standards</w:t>
      </w:r>
      <w:r>
        <w:t xml:space="preserve">. </w:t>
      </w:r>
      <w:r w:rsidR="008702B6">
        <w:t xml:space="preserve">The </w:t>
      </w:r>
      <w:r w:rsidR="00F101AB">
        <w:t>Agency</w:t>
      </w:r>
      <w:r w:rsidR="008702B6">
        <w:t xml:space="preserve"> Survey </w:t>
      </w:r>
      <w:r w:rsidR="005756A9">
        <w:t xml:space="preserve">asked </w:t>
      </w:r>
      <w:r w:rsidR="005F3CEB">
        <w:t xml:space="preserve">agencies </w:t>
      </w:r>
      <w:r w:rsidR="005756A9">
        <w:t xml:space="preserve">about </w:t>
      </w:r>
      <w:r w:rsidR="005F3CEB">
        <w:t>the number of Strategy deliverables they were likely to meet.</w:t>
      </w:r>
      <w:r w:rsidR="00E133B2">
        <w:t xml:space="preserve"> </w:t>
      </w:r>
      <w:r w:rsidR="005F3CEB">
        <w:t>I</w:t>
      </w:r>
      <w:r w:rsidR="005B09AD">
        <w:t>n 2023</w:t>
      </w:r>
      <w:r w:rsidR="008F2EA3">
        <w:t>,</w:t>
      </w:r>
      <w:r w:rsidR="006B475D">
        <w:t xml:space="preserve"> 85% </w:t>
      </w:r>
      <w:r w:rsidR="005B09AD">
        <w:t xml:space="preserve">reported a likelihood </w:t>
      </w:r>
      <w:r w:rsidR="006B475D">
        <w:t>o</w:t>
      </w:r>
      <w:r w:rsidR="005B09AD">
        <w:t>f</w:t>
      </w:r>
      <w:r w:rsidR="006B475D">
        <w:t xml:space="preserve"> address</w:t>
      </w:r>
      <w:r w:rsidR="005B09AD">
        <w:t>ing</w:t>
      </w:r>
      <w:r w:rsidR="00FF0B00">
        <w:t xml:space="preserve"> </w:t>
      </w:r>
      <w:r w:rsidR="00B54D2D">
        <w:t>3</w:t>
      </w:r>
      <w:r w:rsidR="00FF0B00">
        <w:t xml:space="preserve"> or more</w:t>
      </w:r>
      <w:r w:rsidR="008702B6">
        <w:t xml:space="preserve"> actions</w:t>
      </w:r>
      <w:r w:rsidR="00F101AB">
        <w:t>, increasing</w:t>
      </w:r>
      <w:r w:rsidR="00195437">
        <w:t xml:space="preserve"> from 60% </w:t>
      </w:r>
      <w:r w:rsidR="008702B6">
        <w:t xml:space="preserve">in </w:t>
      </w:r>
      <w:r w:rsidR="00195437">
        <w:t>the previous year</w:t>
      </w:r>
      <w:r w:rsidR="0030261C">
        <w:t xml:space="preserve"> (</w:t>
      </w:r>
      <w:r w:rsidR="00F60C2B">
        <w:fldChar w:fldCharType="begin"/>
      </w:r>
      <w:r w:rsidR="00F60C2B">
        <w:instrText xml:space="preserve"> REF _Ref164166435 \h </w:instrText>
      </w:r>
      <w:r w:rsidR="00F60C2B">
        <w:fldChar w:fldCharType="separate"/>
      </w:r>
      <w:r w:rsidR="004166B9">
        <w:t xml:space="preserve">Figure </w:t>
      </w:r>
      <w:r w:rsidR="004166B9">
        <w:rPr>
          <w:noProof/>
        </w:rPr>
        <w:t>3</w:t>
      </w:r>
      <w:r w:rsidR="00F60C2B">
        <w:fldChar w:fldCharType="end"/>
      </w:r>
      <w:r w:rsidR="0030261C">
        <w:t>)</w:t>
      </w:r>
      <w:r w:rsidR="00195437">
        <w:t>.</w:t>
      </w:r>
      <w:r w:rsidR="00FF0B00">
        <w:t xml:space="preserve"> 18</w:t>
      </w:r>
      <w:r w:rsidR="00650947">
        <w:t xml:space="preserve">% of </w:t>
      </w:r>
      <w:r w:rsidR="00E4645F">
        <w:t xml:space="preserve">responding </w:t>
      </w:r>
      <w:r w:rsidR="00650947">
        <w:t>agencies</w:t>
      </w:r>
      <w:r w:rsidR="00FF0B00">
        <w:t xml:space="preserve"> reported a likelihood of delivering 10 </w:t>
      </w:r>
      <w:r w:rsidR="008702B6">
        <w:t>or more</w:t>
      </w:r>
      <w:r w:rsidR="00FF0B00">
        <w:t xml:space="preserve"> actions, </w:t>
      </w:r>
      <w:r w:rsidR="00760EA3">
        <w:t>which had tripled</w:t>
      </w:r>
      <w:r w:rsidR="00FF0B00">
        <w:t xml:space="preserve"> since the year before.</w:t>
      </w:r>
      <w:r w:rsidR="005F52D0">
        <w:t xml:space="preserve"> </w:t>
      </w:r>
      <w:r w:rsidR="008F2EA3">
        <w:t>T</w:t>
      </w:r>
      <w:r w:rsidR="00F25635">
        <w:t xml:space="preserve">hese </w:t>
      </w:r>
      <w:r w:rsidR="008702B6">
        <w:t xml:space="preserve">results </w:t>
      </w:r>
      <w:r w:rsidR="00F25635">
        <w:t>show</w:t>
      </w:r>
      <w:r w:rsidR="008702B6">
        <w:t xml:space="preserve"> that</w:t>
      </w:r>
      <w:r w:rsidR="00F25635">
        <w:t xml:space="preserve"> the majority of</w:t>
      </w:r>
      <w:r w:rsidR="008F2EA3">
        <w:t xml:space="preserve"> agencies are engaging with the Strategy </w:t>
      </w:r>
      <w:r w:rsidR="00760EA3">
        <w:t>to</w:t>
      </w:r>
      <w:r w:rsidR="008F2EA3">
        <w:t xml:space="preserve"> some </w:t>
      </w:r>
      <w:r w:rsidR="00760EA3">
        <w:t>degree</w:t>
      </w:r>
      <w:r w:rsidR="00CE1CF7">
        <w:t xml:space="preserve"> and th</w:t>
      </w:r>
      <w:r w:rsidR="008702B6">
        <w:t>eir level of engagement</w:t>
      </w:r>
      <w:r w:rsidR="00CE1CF7">
        <w:t xml:space="preserve"> is growing over time</w:t>
      </w:r>
      <w:r w:rsidR="008F2EA3">
        <w:t>. However</w:t>
      </w:r>
      <w:r w:rsidR="005F52D0">
        <w:t xml:space="preserve">, </w:t>
      </w:r>
      <w:r w:rsidR="00F25635">
        <w:t xml:space="preserve">there is opportunity </w:t>
      </w:r>
      <w:r w:rsidR="005B09AD">
        <w:t>for</w:t>
      </w:r>
      <w:r w:rsidR="005F52D0">
        <w:t xml:space="preserve"> agencies </w:t>
      </w:r>
      <w:r w:rsidR="007056D0">
        <w:t>to</w:t>
      </w:r>
      <w:r w:rsidR="00CE1CF7">
        <w:t xml:space="preserve"> continue increasing</w:t>
      </w:r>
      <w:r w:rsidR="007056D0">
        <w:t xml:space="preserve"> the number of d</w:t>
      </w:r>
      <w:r w:rsidR="00D40792">
        <w:t>eliverables they are implementing</w:t>
      </w:r>
      <w:r w:rsidR="005F52D0">
        <w:t>.</w:t>
      </w:r>
    </w:p>
    <w:p w14:paraId="049F3B91" w14:textId="0A7DCEC8" w:rsidR="001D7529" w:rsidRDefault="001D7529" w:rsidP="005750BC">
      <w:pPr>
        <w:pStyle w:val="Heading5"/>
      </w:pPr>
      <w:bookmarkStart w:id="347" w:name="_Ref164166435"/>
      <w:bookmarkStart w:id="348" w:name="_Toc168405552"/>
      <w:bookmarkStart w:id="349" w:name="_Toc168408701"/>
      <w:bookmarkStart w:id="350" w:name="_Toc168410991"/>
      <w:bookmarkStart w:id="351" w:name="_Toc168405851"/>
      <w:bookmarkStart w:id="352" w:name="_Toc168473659"/>
      <w:bookmarkStart w:id="353" w:name="_Toc168471557"/>
      <w:bookmarkStart w:id="354" w:name="_Toc168484616"/>
      <w:bookmarkStart w:id="355" w:name="_Toc168495085"/>
      <w:bookmarkStart w:id="356" w:name="_Toc168495534"/>
      <w:bookmarkStart w:id="357" w:name="_Toc168586003"/>
      <w:bookmarkStart w:id="358" w:name="_Toc168586438"/>
      <w:bookmarkStart w:id="359" w:name="_Toc169278396"/>
      <w:bookmarkStart w:id="360" w:name="_Toc169536511"/>
      <w:bookmarkStart w:id="361" w:name="_Toc169708592"/>
      <w:bookmarkStart w:id="362" w:name="_Toc170138020"/>
      <w:bookmarkStart w:id="363" w:name="_Toc170140093"/>
      <w:bookmarkStart w:id="364" w:name="_Toc173857125"/>
      <w:r>
        <w:t xml:space="preserve">Figure </w:t>
      </w:r>
      <w:r>
        <w:fldChar w:fldCharType="begin"/>
      </w:r>
      <w:r>
        <w:instrText>SEQ Figure \* ARABIC</w:instrText>
      </w:r>
      <w:r>
        <w:fldChar w:fldCharType="separate"/>
      </w:r>
      <w:r w:rsidR="004166B9">
        <w:rPr>
          <w:noProof/>
        </w:rPr>
        <w:t>3</w:t>
      </w:r>
      <w:r>
        <w:fldChar w:fldCharType="end"/>
      </w:r>
      <w:bookmarkEnd w:id="347"/>
      <w:r>
        <w:t xml:space="preserve"> </w:t>
      </w:r>
      <w:r w:rsidR="00401F60">
        <w:t xml:space="preserve">Self-reported number of </w:t>
      </w:r>
      <w:r w:rsidR="009F6890">
        <w:t>S</w:t>
      </w:r>
      <w:r>
        <w:t>trategy deliverables agencies were likely to meet</w:t>
      </w:r>
      <w:r w:rsidR="00AD112D">
        <w:rPr>
          <w:rStyle w:val="FootnoteReference"/>
        </w:rPr>
        <w:footnoteReference w:id="6"/>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4BC4CE9" w14:textId="68E4201C" w:rsidR="004B3AEB" w:rsidRDefault="004B3AEB" w:rsidP="000A6DD6">
      <w:r>
        <w:rPr>
          <w:noProof/>
          <w:lang w:eastAsia="en-AU"/>
        </w:rPr>
        <w:drawing>
          <wp:inline distT="0" distB="0" distL="0" distR="0" wp14:anchorId="616536B6" wp14:editId="610526B0">
            <wp:extent cx="5760000" cy="2592000"/>
            <wp:effectExtent l="0" t="0" r="0" b="0"/>
            <wp:docPr id="2" name="Chart 2" descr="Figure 3 Self-reported number of Strategy deliverables agencies were likely to meet"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91D4564" w14:textId="3492819D" w:rsidR="005662A8" w:rsidRPr="00EC0F94" w:rsidRDefault="005662A8" w:rsidP="000A6DD6">
      <w:pPr>
        <w:rPr>
          <w:sz w:val="16"/>
          <w:szCs w:val="16"/>
        </w:rPr>
      </w:pPr>
      <w:r w:rsidRPr="005662A8">
        <w:rPr>
          <w:sz w:val="16"/>
          <w:szCs w:val="16"/>
        </w:rPr>
        <w:t>Source: 20</w:t>
      </w:r>
      <w:r>
        <w:rPr>
          <w:sz w:val="16"/>
          <w:szCs w:val="16"/>
        </w:rPr>
        <w:t xml:space="preserve">22 </w:t>
      </w:r>
      <w:r w:rsidR="00C14DCF">
        <w:rPr>
          <w:sz w:val="16"/>
          <w:szCs w:val="16"/>
        </w:rPr>
        <w:t xml:space="preserve">APS Agency Survey and </w:t>
      </w:r>
      <w:r w:rsidRPr="005662A8">
        <w:rPr>
          <w:sz w:val="16"/>
          <w:szCs w:val="16"/>
        </w:rPr>
        <w:t>2023</w:t>
      </w:r>
      <w:r>
        <w:rPr>
          <w:sz w:val="16"/>
          <w:szCs w:val="16"/>
        </w:rPr>
        <w:t xml:space="preserve"> APS Agency Survey</w:t>
      </w:r>
      <w:r w:rsidR="00876F89">
        <w:rPr>
          <w:sz w:val="16"/>
          <w:szCs w:val="16"/>
        </w:rPr>
        <w:t>.</w:t>
      </w:r>
    </w:p>
    <w:p w14:paraId="19AB2BEB" w14:textId="171C5096" w:rsidR="00D62680" w:rsidRDefault="00401F60" w:rsidP="00D40792">
      <w:r>
        <w:t>S</w:t>
      </w:r>
      <w:r w:rsidR="00D40792">
        <w:t xml:space="preserve">maller agencies were less likely to report meeting a higher number of deliverables (Table 1). </w:t>
      </w:r>
      <w:r w:rsidR="000E11C4">
        <w:t>L</w:t>
      </w:r>
      <w:r w:rsidR="00D40792">
        <w:t>arger agencies</w:t>
      </w:r>
      <w:r w:rsidR="00D62680">
        <w:t xml:space="preserve"> </w:t>
      </w:r>
      <w:r w:rsidR="000E11C4">
        <w:t>could</w:t>
      </w:r>
      <w:r w:rsidR="00D62680">
        <w:t xml:space="preserve"> collaborate with and provide support to </w:t>
      </w:r>
      <w:r w:rsidR="00D40792">
        <w:t>smaller agencies within their respective portfolio</w:t>
      </w:r>
      <w:r w:rsidR="00D62680">
        <w:t>s</w:t>
      </w:r>
      <w:r w:rsidR="00D40792">
        <w:t xml:space="preserve"> </w:t>
      </w:r>
      <w:r w:rsidR="00D62680">
        <w:t xml:space="preserve">to </w:t>
      </w:r>
      <w:r w:rsidR="00D40792">
        <w:t>achieve a greater number of deliverables.</w:t>
      </w:r>
    </w:p>
    <w:p w14:paraId="6A8F731C" w14:textId="62C1C40C" w:rsidR="00401F60" w:rsidRPr="00EC0F94" w:rsidRDefault="00401F60" w:rsidP="004A4090">
      <w:pPr>
        <w:pStyle w:val="Heading5"/>
      </w:pPr>
      <w:r w:rsidRPr="00EC0F94">
        <w:t xml:space="preserve">Table </w:t>
      </w:r>
      <w:r>
        <w:fldChar w:fldCharType="begin"/>
      </w:r>
      <w:r>
        <w:instrText>SEQ Table \* ARABIC</w:instrText>
      </w:r>
      <w:r>
        <w:fldChar w:fldCharType="separate"/>
      </w:r>
      <w:r w:rsidR="004166B9">
        <w:rPr>
          <w:noProof/>
        </w:rPr>
        <w:t>1</w:t>
      </w:r>
      <w:r>
        <w:fldChar w:fldCharType="end"/>
      </w:r>
      <w:r w:rsidRPr="00EC0F94">
        <w:t xml:space="preserve"> Self-reported number of </w:t>
      </w:r>
      <w:r w:rsidR="009F6890" w:rsidRPr="00EC0F94">
        <w:t>S</w:t>
      </w:r>
      <w:r w:rsidRPr="00EC0F94">
        <w:t>trategy deliverables agencies were likely to meet</w:t>
      </w:r>
    </w:p>
    <w:tbl>
      <w:tblPr>
        <w:tblStyle w:val="TableGrid"/>
        <w:tblW w:w="0" w:type="auto"/>
        <w:tblLook w:val="04A0" w:firstRow="1" w:lastRow="0" w:firstColumn="1" w:lastColumn="0" w:noHBand="0" w:noVBand="1"/>
        <w:tblCaption w:val="Table 1 Self-reported number of Strategy deliverables agencies were likely to meet"/>
        <w:tblDescription w:val="Extra small / Small agencies (20-250 employees) - three or more 75%, Ten or more 14%. Medium-Extra Large agencies (Over 250 employees) -three or more 93%, Ten or more 22%."/>
      </w:tblPr>
      <w:tblGrid>
        <w:gridCol w:w="4400"/>
        <w:gridCol w:w="2201"/>
        <w:gridCol w:w="2066"/>
      </w:tblGrid>
      <w:tr w:rsidR="00D40792" w14:paraId="7EFDE956" w14:textId="77777777" w:rsidTr="00AD566C">
        <w:trPr>
          <w:trHeight w:val="746"/>
          <w:tblHeader/>
        </w:trPr>
        <w:tc>
          <w:tcPr>
            <w:tcW w:w="4400" w:type="dxa"/>
            <w:shd w:val="clear" w:color="auto" w:fill="4DA3AB" w:themeFill="accent1"/>
            <w:vAlign w:val="bottom"/>
          </w:tcPr>
          <w:p w14:paraId="7529610D" w14:textId="77777777" w:rsidR="00D40792" w:rsidRDefault="00D40792" w:rsidP="00D40792"/>
        </w:tc>
        <w:tc>
          <w:tcPr>
            <w:tcW w:w="2201" w:type="dxa"/>
            <w:shd w:val="clear" w:color="auto" w:fill="4DA3AB" w:themeFill="accent1"/>
          </w:tcPr>
          <w:p w14:paraId="4F7D1F37" w14:textId="23E827F7" w:rsidR="00D40792" w:rsidRPr="00500C21" w:rsidRDefault="00D40792" w:rsidP="00500C21">
            <w:pPr>
              <w:jc w:val="center"/>
              <w:rPr>
                <w:b/>
              </w:rPr>
            </w:pPr>
            <w:r w:rsidRPr="00500C21">
              <w:rPr>
                <w:rFonts w:ascii="Arial" w:hAnsi="Arial" w:cs="Arial"/>
                <w:b/>
                <w:color w:val="000000"/>
              </w:rPr>
              <w:t>Three or more deliverables</w:t>
            </w:r>
          </w:p>
        </w:tc>
        <w:tc>
          <w:tcPr>
            <w:tcW w:w="2066" w:type="dxa"/>
            <w:shd w:val="clear" w:color="auto" w:fill="4DA3AB" w:themeFill="accent1"/>
          </w:tcPr>
          <w:p w14:paraId="0E23659D" w14:textId="1C51E32F" w:rsidR="00D40792" w:rsidRPr="00500C21" w:rsidRDefault="00D40792" w:rsidP="00500C21">
            <w:pPr>
              <w:jc w:val="center"/>
              <w:rPr>
                <w:b/>
              </w:rPr>
            </w:pPr>
            <w:r w:rsidRPr="00500C21">
              <w:rPr>
                <w:rFonts w:ascii="Arial" w:hAnsi="Arial" w:cs="Arial"/>
                <w:b/>
                <w:color w:val="000000"/>
              </w:rPr>
              <w:t>Ten or more deliverables</w:t>
            </w:r>
          </w:p>
        </w:tc>
      </w:tr>
      <w:tr w:rsidR="00D40792" w14:paraId="1F542DB6" w14:textId="77777777" w:rsidTr="001721A3">
        <w:trPr>
          <w:trHeight w:val="575"/>
        </w:trPr>
        <w:tc>
          <w:tcPr>
            <w:tcW w:w="4400" w:type="dxa"/>
            <w:shd w:val="clear" w:color="auto" w:fill="auto"/>
          </w:tcPr>
          <w:p w14:paraId="6DED7602" w14:textId="0C853B3F" w:rsidR="00D40792" w:rsidRDefault="00D40792" w:rsidP="00D40792">
            <w:r>
              <w:rPr>
                <w:rFonts w:ascii="Arial" w:hAnsi="Arial" w:cs="Arial"/>
                <w:color w:val="000000"/>
              </w:rPr>
              <w:t>Extra small / Small agencies (20-250 employees)</w:t>
            </w:r>
          </w:p>
        </w:tc>
        <w:tc>
          <w:tcPr>
            <w:tcW w:w="2201" w:type="dxa"/>
            <w:shd w:val="clear" w:color="auto" w:fill="auto"/>
            <w:vAlign w:val="center"/>
          </w:tcPr>
          <w:p w14:paraId="49D52EFA" w14:textId="6E3EAA10" w:rsidR="00D40792" w:rsidRDefault="00D40792" w:rsidP="00EC0F94">
            <w:pPr>
              <w:jc w:val="center"/>
            </w:pPr>
            <w:r>
              <w:rPr>
                <w:rFonts w:ascii="Calibri" w:hAnsi="Calibri" w:cs="Calibri"/>
                <w:color w:val="000000"/>
                <w:sz w:val="22"/>
              </w:rPr>
              <w:t>75%</w:t>
            </w:r>
          </w:p>
        </w:tc>
        <w:tc>
          <w:tcPr>
            <w:tcW w:w="2066" w:type="dxa"/>
            <w:shd w:val="clear" w:color="auto" w:fill="auto"/>
            <w:vAlign w:val="center"/>
          </w:tcPr>
          <w:p w14:paraId="1277F73A" w14:textId="750F2145" w:rsidR="00D40792" w:rsidRDefault="00D40792" w:rsidP="00EC0F94">
            <w:pPr>
              <w:jc w:val="center"/>
            </w:pPr>
            <w:r>
              <w:rPr>
                <w:rFonts w:ascii="Calibri" w:hAnsi="Calibri" w:cs="Calibri"/>
                <w:color w:val="000000"/>
                <w:sz w:val="22"/>
              </w:rPr>
              <w:t>14%</w:t>
            </w:r>
          </w:p>
        </w:tc>
      </w:tr>
      <w:tr w:rsidR="00D40792" w14:paraId="48F8247A" w14:textId="77777777" w:rsidTr="001721A3">
        <w:trPr>
          <w:trHeight w:val="86"/>
        </w:trPr>
        <w:tc>
          <w:tcPr>
            <w:tcW w:w="4400" w:type="dxa"/>
            <w:shd w:val="clear" w:color="auto" w:fill="auto"/>
          </w:tcPr>
          <w:p w14:paraId="7B6A5716" w14:textId="607C3ED6" w:rsidR="00D40792" w:rsidRDefault="00D40792" w:rsidP="00D40792">
            <w:r>
              <w:rPr>
                <w:rFonts w:ascii="Arial" w:hAnsi="Arial" w:cs="Arial"/>
                <w:color w:val="000000"/>
              </w:rPr>
              <w:t>Medium-Extra Large agencies (Over 250 employees)</w:t>
            </w:r>
          </w:p>
        </w:tc>
        <w:tc>
          <w:tcPr>
            <w:tcW w:w="2201" w:type="dxa"/>
            <w:shd w:val="clear" w:color="auto" w:fill="auto"/>
            <w:vAlign w:val="center"/>
          </w:tcPr>
          <w:p w14:paraId="399BDB22" w14:textId="198391CE" w:rsidR="00D40792" w:rsidRDefault="00D40792" w:rsidP="00EC0F94">
            <w:pPr>
              <w:jc w:val="center"/>
            </w:pPr>
            <w:r>
              <w:rPr>
                <w:rFonts w:ascii="Calibri" w:hAnsi="Calibri" w:cs="Calibri"/>
                <w:color w:val="000000"/>
                <w:sz w:val="22"/>
              </w:rPr>
              <w:t>93%</w:t>
            </w:r>
          </w:p>
        </w:tc>
        <w:tc>
          <w:tcPr>
            <w:tcW w:w="2066" w:type="dxa"/>
            <w:shd w:val="clear" w:color="auto" w:fill="auto"/>
            <w:vAlign w:val="center"/>
          </w:tcPr>
          <w:p w14:paraId="2B326FCF" w14:textId="677D3B30" w:rsidR="00D40792" w:rsidRDefault="00D40792" w:rsidP="00EC0F94">
            <w:pPr>
              <w:jc w:val="center"/>
            </w:pPr>
            <w:r>
              <w:rPr>
                <w:rFonts w:ascii="Calibri" w:hAnsi="Calibri" w:cs="Calibri"/>
                <w:color w:val="000000"/>
                <w:sz w:val="22"/>
              </w:rPr>
              <w:t>22%</w:t>
            </w:r>
          </w:p>
        </w:tc>
      </w:tr>
    </w:tbl>
    <w:p w14:paraId="658179A0" w14:textId="5AE4F792" w:rsidR="00F27062" w:rsidRPr="00EC0F94" w:rsidRDefault="00F27062" w:rsidP="00F27062">
      <w:pPr>
        <w:rPr>
          <w:sz w:val="16"/>
          <w:szCs w:val="16"/>
        </w:rPr>
      </w:pPr>
      <w:bookmarkStart w:id="365" w:name="_Toc165991652"/>
      <w:bookmarkStart w:id="366" w:name="_Toc166082950"/>
      <w:bookmarkStart w:id="367" w:name="_Toc166160314"/>
      <w:bookmarkStart w:id="368" w:name="_Toc166168013"/>
      <w:r>
        <w:rPr>
          <w:sz w:val="16"/>
          <w:szCs w:val="16"/>
        </w:rPr>
        <w:lastRenderedPageBreak/>
        <w:t xml:space="preserve">Source: </w:t>
      </w:r>
      <w:r w:rsidRPr="005662A8">
        <w:rPr>
          <w:sz w:val="16"/>
          <w:szCs w:val="16"/>
        </w:rPr>
        <w:t>2023</w:t>
      </w:r>
      <w:r>
        <w:rPr>
          <w:sz w:val="16"/>
          <w:szCs w:val="16"/>
        </w:rPr>
        <w:t xml:space="preserve"> APS Agency Survey</w:t>
      </w:r>
      <w:r w:rsidR="00876F89">
        <w:rPr>
          <w:sz w:val="16"/>
          <w:szCs w:val="16"/>
        </w:rPr>
        <w:t>.</w:t>
      </w:r>
    </w:p>
    <w:p w14:paraId="6F535BC1" w14:textId="450BE741" w:rsidR="000301D3" w:rsidRDefault="000301D3" w:rsidP="00495006">
      <w:pPr>
        <w:pStyle w:val="Heading3"/>
      </w:pPr>
      <w:bookmarkStart w:id="369" w:name="_Toc168329170"/>
      <w:bookmarkStart w:id="370" w:name="_Toc168322827"/>
      <w:bookmarkStart w:id="371" w:name="_Toc168387943"/>
      <w:bookmarkStart w:id="372" w:name="_Toc168405598"/>
      <w:bookmarkStart w:id="373" w:name="_Toc168408636"/>
      <w:bookmarkStart w:id="374" w:name="_Toc168411037"/>
      <w:bookmarkStart w:id="375" w:name="_Toc168405897"/>
      <w:bookmarkStart w:id="376" w:name="_Toc168473705"/>
      <w:bookmarkStart w:id="377" w:name="_Toc168471603"/>
      <w:bookmarkStart w:id="378" w:name="_Toc168484663"/>
      <w:bookmarkStart w:id="379" w:name="_Toc168495132"/>
      <w:bookmarkStart w:id="380" w:name="_Toc168495581"/>
      <w:bookmarkStart w:id="381" w:name="_Toc169103249"/>
      <w:bookmarkStart w:id="382" w:name="_Toc169104723"/>
      <w:bookmarkStart w:id="383" w:name="_Toc169278439"/>
      <w:bookmarkStart w:id="384" w:name="_Toc169536878"/>
      <w:bookmarkStart w:id="385" w:name="_Toc169708628"/>
      <w:bookmarkStart w:id="386" w:name="_Toc170119672"/>
      <w:bookmarkStart w:id="387" w:name="_Toc170138055"/>
      <w:bookmarkStart w:id="388" w:name="_Toc170140128"/>
      <w:r>
        <w:t>Agency communication efforts</w:t>
      </w:r>
    </w:p>
    <w:p w14:paraId="5DEA54CE" w14:textId="33F48CA6" w:rsidR="000301D3" w:rsidRDefault="000301D3" w:rsidP="000301D3">
      <w:r>
        <w:t>The majority of agencies provided details of their commitment to gender equality and inclusion in their recruitment materials (75%) and induction materials (60%). 34% of agencies also provide details through other materials such as annual reports and public-facing websites.</w:t>
      </w:r>
    </w:p>
    <w:p w14:paraId="4905A331" w14:textId="64EE3F63" w:rsidR="00495006" w:rsidRDefault="00495006" w:rsidP="00313A47">
      <w:pPr>
        <w:pStyle w:val="Heading2"/>
      </w:pPr>
      <w:bookmarkStart w:id="389" w:name="_Toc181715725"/>
      <w:r>
        <w:t>Strategy implementation</w:t>
      </w:r>
      <w:bookmarkEnd w:id="365"/>
      <w:bookmarkEnd w:id="366"/>
      <w:bookmarkEnd w:id="367"/>
      <w:bookmarkEnd w:id="368"/>
      <w:r w:rsidR="00E66D48">
        <w:t xml:space="preserve"> efforts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0EBEBF0" w14:textId="7F5CDC3D" w:rsidR="001952C5" w:rsidRDefault="001952C5" w:rsidP="00313A47">
      <w:pPr>
        <w:pStyle w:val="Heading3"/>
      </w:pPr>
      <w:r w:rsidRPr="006333F4">
        <w:t>Agency</w:t>
      </w:r>
      <w:r w:rsidR="0099115C">
        <w:t>-</w:t>
      </w:r>
      <w:r w:rsidR="004E4BAC">
        <w:t>specific gender equality</w:t>
      </w:r>
      <w:r w:rsidRPr="006333F4">
        <w:t xml:space="preserve"> </w:t>
      </w:r>
      <w:r>
        <w:t xml:space="preserve">policies, strategies, action plans, and other activities </w:t>
      </w:r>
    </w:p>
    <w:p w14:paraId="6640B3E2" w14:textId="6330E645" w:rsidR="00C7072A" w:rsidRDefault="008C6C12" w:rsidP="00495006">
      <w:r>
        <w:t>A</w:t>
      </w:r>
      <w:r w:rsidR="0069378D">
        <w:t xml:space="preserve"> </w:t>
      </w:r>
      <w:r w:rsidR="001955AA">
        <w:t>measure of commitment</w:t>
      </w:r>
      <w:r w:rsidR="00237EBC">
        <w:t xml:space="preserve"> </w:t>
      </w:r>
      <w:r w:rsidR="0099115C">
        <w:t xml:space="preserve">to gender equality </w:t>
      </w:r>
      <w:r w:rsidR="00237EBC">
        <w:t xml:space="preserve">is </w:t>
      </w:r>
      <w:r w:rsidR="00CE1CF7">
        <w:t>agency development of</w:t>
      </w:r>
      <w:r w:rsidR="00237EBC">
        <w:t xml:space="preserve"> formal initiatives to implement the Strategy. </w:t>
      </w:r>
      <w:r w:rsidR="00C76E93">
        <w:t xml:space="preserve">The GES </w:t>
      </w:r>
      <w:r w:rsidR="00593AB7">
        <w:t>Survey</w:t>
      </w:r>
      <w:r w:rsidR="00C76E93">
        <w:t xml:space="preserve"> found that</w:t>
      </w:r>
      <w:r w:rsidR="00970A9F">
        <w:t xml:space="preserve"> 74% </w:t>
      </w:r>
      <w:r w:rsidR="00C76E93">
        <w:t xml:space="preserve">of </w:t>
      </w:r>
      <w:r w:rsidR="008F106A">
        <w:t>responding</w:t>
      </w:r>
      <w:r w:rsidR="00C76E93">
        <w:t xml:space="preserve"> agencies </w:t>
      </w:r>
      <w:r w:rsidR="00970A9F">
        <w:t>had a gender equality policy, strategy, action plan or other gender equality initiative (such as training or information and resources) in place.</w:t>
      </w:r>
      <w:r w:rsidR="00E252F6">
        <w:t xml:space="preserve"> This </w:t>
      </w:r>
      <w:r w:rsidR="003704E6">
        <w:t>demonstrated</w:t>
      </w:r>
      <w:r w:rsidR="00C76E93">
        <w:t xml:space="preserve"> increased efforts towards gender equality since 2021</w:t>
      </w:r>
      <w:r w:rsidR="00CE1CF7">
        <w:t>.</w:t>
      </w:r>
      <w:r w:rsidR="005B4D78">
        <w:t xml:space="preserve"> </w:t>
      </w:r>
      <w:r w:rsidR="00CE1CF7">
        <w:t>At that time, t</w:t>
      </w:r>
      <w:r w:rsidR="00E252F6">
        <w:t>he</w:t>
      </w:r>
      <w:r w:rsidR="00C76E93">
        <w:t xml:space="preserve"> Agency</w:t>
      </w:r>
      <w:r w:rsidR="00062927">
        <w:t xml:space="preserve"> </w:t>
      </w:r>
      <w:r w:rsidR="000859D4">
        <w:t>S</w:t>
      </w:r>
      <w:r w:rsidR="00062927">
        <w:t>urvey asked a similar question</w:t>
      </w:r>
      <w:r w:rsidR="00C76E93">
        <w:t xml:space="preserve"> </w:t>
      </w:r>
      <w:r w:rsidR="001955AA">
        <w:t xml:space="preserve">and </w:t>
      </w:r>
      <w:r w:rsidR="00E252F6">
        <w:t>55%</w:t>
      </w:r>
      <w:r w:rsidR="00790125">
        <w:t xml:space="preserve"> </w:t>
      </w:r>
      <w:r w:rsidR="00062927">
        <w:t xml:space="preserve">of </w:t>
      </w:r>
      <w:r w:rsidR="002B139B">
        <w:t xml:space="preserve">responding </w:t>
      </w:r>
      <w:r w:rsidR="00062927">
        <w:t xml:space="preserve">agencies </w:t>
      </w:r>
      <w:r w:rsidR="001955AA">
        <w:t xml:space="preserve">reported </w:t>
      </w:r>
      <w:r w:rsidR="005B4D78">
        <w:t>they had</w:t>
      </w:r>
      <w:r w:rsidR="00C868C6">
        <w:t xml:space="preserve"> a</w:t>
      </w:r>
      <w:r w:rsidR="005B4D78">
        <w:t xml:space="preserve"> gender equality implementation activit</w:t>
      </w:r>
      <w:r w:rsidR="00C868C6">
        <w:t>y</w:t>
      </w:r>
      <w:r w:rsidR="00062927">
        <w:t xml:space="preserve"> in place</w:t>
      </w:r>
      <w:r w:rsidR="00E252F6">
        <w:t>.</w:t>
      </w:r>
    </w:p>
    <w:p w14:paraId="0E479EF9" w14:textId="7B7D39C6" w:rsidR="00911A06" w:rsidRDefault="004E4BAC" w:rsidP="004E4BAC">
      <w:r>
        <w:t xml:space="preserve">Of these activities, </w:t>
      </w:r>
      <w:r w:rsidR="00AE5581">
        <w:t>57</w:t>
      </w:r>
      <w:r w:rsidR="00C76E93">
        <w:t>%</w:t>
      </w:r>
      <w:r w:rsidR="00F617AD">
        <w:t xml:space="preserve"> of</w:t>
      </w:r>
      <w:r w:rsidR="00A632BC">
        <w:t xml:space="preserve"> responding</w:t>
      </w:r>
      <w:r w:rsidR="00F617AD">
        <w:t xml:space="preserve"> agencies</w:t>
      </w:r>
      <w:r w:rsidR="00C76E93">
        <w:t xml:space="preserve"> had</w:t>
      </w:r>
      <w:r w:rsidR="00C7072A">
        <w:t xml:space="preserve"> a</w:t>
      </w:r>
      <w:r w:rsidR="00C868C6">
        <w:t>n agency</w:t>
      </w:r>
      <w:r w:rsidR="0099115C">
        <w:t>-</w:t>
      </w:r>
      <w:r w:rsidR="002F6C64">
        <w:t>tailored</w:t>
      </w:r>
      <w:r w:rsidR="00C76E93">
        <w:t xml:space="preserve"> gender equality strategy </w:t>
      </w:r>
      <w:r w:rsidR="005B4D78">
        <w:t>and/</w:t>
      </w:r>
      <w:r w:rsidR="00C76E93">
        <w:t>or action plan</w:t>
      </w:r>
      <w:r w:rsidR="00C7072A">
        <w:t xml:space="preserve"> in place</w:t>
      </w:r>
      <w:r>
        <w:t xml:space="preserve"> in 2023</w:t>
      </w:r>
      <w:r w:rsidR="00C76E93">
        <w:t>.</w:t>
      </w:r>
      <w:r w:rsidR="00F617AD">
        <w:t xml:space="preserve"> </w:t>
      </w:r>
      <w:r w:rsidR="00591B03">
        <w:t>G</w:t>
      </w:r>
      <w:r>
        <w:t>enerally</w:t>
      </w:r>
      <w:r w:rsidR="04E8FC31">
        <w:t>,</w:t>
      </w:r>
      <w:r>
        <w:t xml:space="preserve"> these plans</w:t>
      </w:r>
      <w:r w:rsidR="00DF3A3B">
        <w:t xml:space="preserve"> appeared to</w:t>
      </w:r>
      <w:r>
        <w:t xml:space="preserve"> </w:t>
      </w:r>
      <w:r w:rsidR="00DF3A3B">
        <w:t>be progressed by agencies</w:t>
      </w:r>
      <w:r w:rsidR="0031176D">
        <w:t>.</w:t>
      </w:r>
    </w:p>
    <w:p w14:paraId="52470C81" w14:textId="77777777" w:rsidR="00911A06" w:rsidRDefault="00911A06" w:rsidP="00F9645E">
      <w:pPr>
        <w:pStyle w:val="BulletLevel1"/>
        <w:numPr>
          <w:ilvl w:val="0"/>
          <w:numId w:val="45"/>
        </w:numPr>
      </w:pPr>
      <w:r>
        <w:t>91% of agencies had dedicated resources in place to support the implementation of their agency gender equality strategy and/or action plan.</w:t>
      </w:r>
    </w:p>
    <w:p w14:paraId="4F061792" w14:textId="77777777" w:rsidR="00911A06" w:rsidRDefault="00911A06" w:rsidP="00F9645E">
      <w:pPr>
        <w:pStyle w:val="BulletLevel1"/>
        <w:numPr>
          <w:ilvl w:val="0"/>
          <w:numId w:val="45"/>
        </w:numPr>
      </w:pPr>
      <w:r>
        <w:t>94% of agencies had governance to support the implementation of their agency gender equality strategy and/or action plan.</w:t>
      </w:r>
    </w:p>
    <w:p w14:paraId="1AFB227F" w14:textId="5E171B3D" w:rsidR="00EF4BF5" w:rsidRDefault="004E4BAC" w:rsidP="00F9645E">
      <w:pPr>
        <w:pStyle w:val="BulletLevel1"/>
        <w:numPr>
          <w:ilvl w:val="0"/>
          <w:numId w:val="45"/>
        </w:numPr>
      </w:pPr>
      <w:r>
        <w:t xml:space="preserve">Furthermore, </w:t>
      </w:r>
      <w:r w:rsidR="00310933">
        <w:t xml:space="preserve">81% </w:t>
      </w:r>
      <w:r w:rsidR="00370D92">
        <w:t xml:space="preserve">communicated the implementation progress to all employees </w:t>
      </w:r>
      <w:r w:rsidR="00A6374A">
        <w:t>and</w:t>
      </w:r>
      <w:r w:rsidR="00310933">
        <w:t xml:space="preserve"> 74%</w:t>
      </w:r>
      <w:r w:rsidR="00A6374A">
        <w:t xml:space="preserve"> advertised this</w:t>
      </w:r>
      <w:r w:rsidR="00370D92">
        <w:t xml:space="preserve"> </w:t>
      </w:r>
      <w:r w:rsidR="7301276E">
        <w:t>publicly</w:t>
      </w:r>
      <w:r w:rsidR="00370D92">
        <w:t>.</w:t>
      </w:r>
    </w:p>
    <w:p w14:paraId="377CE474" w14:textId="78EFB068" w:rsidR="006F686C" w:rsidRDefault="006F686C" w:rsidP="001D6ECF">
      <w:r>
        <w:t>Agencies that had a gender equality policy, strategy, action plan, or other initiative in place tended to be larger in size. Of those that did not, 5 were extra small, 10 were small, 8 were medium sized, and one was large.</w:t>
      </w:r>
      <w:r w:rsidDel="00EF4BF5">
        <w:t xml:space="preserve"> </w:t>
      </w:r>
    </w:p>
    <w:p w14:paraId="030542A1" w14:textId="7182E678" w:rsidR="001952C5" w:rsidRDefault="00ED58EC" w:rsidP="00313A47">
      <w:pPr>
        <w:pStyle w:val="Heading3"/>
      </w:pPr>
      <w:r>
        <w:t>M</w:t>
      </w:r>
      <w:r w:rsidR="001952C5">
        <w:t>eans of i</w:t>
      </w:r>
      <w:r w:rsidR="004E4BAC">
        <w:t>mplementing gender equality in agencies</w:t>
      </w:r>
    </w:p>
    <w:p w14:paraId="2EDBA576" w14:textId="37F69775" w:rsidR="00A2515E" w:rsidRDefault="008C6C12" w:rsidP="000A6DD6">
      <w:r>
        <w:t>Another measure of commitment is w</w:t>
      </w:r>
      <w:r w:rsidR="0069378D">
        <w:t xml:space="preserve">hether agencies had put in place resources to implement the Strategy. </w:t>
      </w:r>
      <w:r w:rsidR="00ED58EC">
        <w:t>T</w:t>
      </w:r>
      <w:r w:rsidR="000B1BE4">
        <w:t xml:space="preserve">he GES </w:t>
      </w:r>
      <w:r w:rsidR="00593AB7">
        <w:t>Survey</w:t>
      </w:r>
      <w:r w:rsidR="000B1BE4">
        <w:t xml:space="preserve"> </w:t>
      </w:r>
      <w:r w:rsidR="00ED58EC">
        <w:t>asked</w:t>
      </w:r>
      <w:r w:rsidR="000B1BE4">
        <w:t xml:space="preserve"> agencies </w:t>
      </w:r>
      <w:r w:rsidR="00ED58EC">
        <w:t>what</w:t>
      </w:r>
      <w:r w:rsidR="000B1BE4">
        <w:t xml:space="preserve"> they </w:t>
      </w:r>
      <w:r w:rsidR="00ED58EC">
        <w:t>used to</w:t>
      </w:r>
      <w:r w:rsidR="001131F3">
        <w:t xml:space="preserve"> implement</w:t>
      </w:r>
      <w:r w:rsidR="000B1BE4">
        <w:t xml:space="preserve"> </w:t>
      </w:r>
      <w:r w:rsidR="0015670D">
        <w:t xml:space="preserve">the </w:t>
      </w:r>
      <w:r w:rsidR="009F6890">
        <w:t>S</w:t>
      </w:r>
      <w:r w:rsidR="0015670D">
        <w:t>trategy</w:t>
      </w:r>
      <w:r w:rsidR="000B1BE4">
        <w:t xml:space="preserve"> within their organisations.</w:t>
      </w:r>
      <w:r w:rsidR="00A632BC">
        <w:t xml:space="preserve"> 91% of </w:t>
      </w:r>
      <w:r w:rsidR="00AF3798">
        <w:t>responding</w:t>
      </w:r>
      <w:r w:rsidR="0015670D">
        <w:t xml:space="preserve"> </w:t>
      </w:r>
      <w:r w:rsidR="000D7263">
        <w:t xml:space="preserve">agencies </w:t>
      </w:r>
      <w:r w:rsidR="00D978C2">
        <w:t xml:space="preserve">had some means of implementing the </w:t>
      </w:r>
      <w:r w:rsidR="009F6890">
        <w:t>S</w:t>
      </w:r>
      <w:r w:rsidR="00D978C2">
        <w:t xml:space="preserve">trategy in place. </w:t>
      </w:r>
      <w:r w:rsidR="00D81EB1">
        <w:t>Th</w:t>
      </w:r>
      <w:r w:rsidR="0015670D">
        <w:t>e</w:t>
      </w:r>
      <w:r w:rsidR="00FE1FD2">
        <w:t>se included</w:t>
      </w:r>
      <w:r w:rsidR="0015670D">
        <w:t xml:space="preserve"> through</w:t>
      </w:r>
      <w:r w:rsidR="001F0134">
        <w:t xml:space="preserve"> leadership (71%)</w:t>
      </w:r>
      <w:r w:rsidR="0015670D">
        <w:t>,</w:t>
      </w:r>
      <w:r w:rsidR="00D81EB1">
        <w:t xml:space="preserve"> gender networks and champions </w:t>
      </w:r>
      <w:r w:rsidR="006065C1">
        <w:t>(59%),</w:t>
      </w:r>
      <w:r w:rsidR="001F0134">
        <w:t xml:space="preserve"> staff tasked to action </w:t>
      </w:r>
      <w:r w:rsidR="00877C71">
        <w:t>the</w:t>
      </w:r>
      <w:r w:rsidR="001F0134">
        <w:t xml:space="preserve"> deliverables (53%)</w:t>
      </w:r>
      <w:r w:rsidR="006065C1">
        <w:t xml:space="preserve"> or other </w:t>
      </w:r>
      <w:r w:rsidR="0039450C">
        <w:t xml:space="preserve">means </w:t>
      </w:r>
      <w:r w:rsidR="006065C1">
        <w:t>(40%)</w:t>
      </w:r>
      <w:r w:rsidR="001F0134">
        <w:t>.</w:t>
      </w:r>
      <w:r w:rsidR="00A2515E">
        <w:t xml:space="preserve"> </w:t>
      </w:r>
      <w:r w:rsidR="0039450C">
        <w:t>Other</w:t>
      </w:r>
      <w:r w:rsidR="00FE1FD2">
        <w:t xml:space="preserve"> </w:t>
      </w:r>
      <w:r w:rsidR="0023048E">
        <w:t>methods</w:t>
      </w:r>
      <w:r w:rsidR="0039450C" w:rsidDel="0023048E">
        <w:t xml:space="preserve"> </w:t>
      </w:r>
      <w:r>
        <w:t>included</w:t>
      </w:r>
      <w:r w:rsidR="0039450C">
        <w:t xml:space="preserve"> </w:t>
      </w:r>
      <w:r w:rsidR="0023048E">
        <w:t>implementing the Strategy</w:t>
      </w:r>
      <w:r w:rsidR="0039450C">
        <w:t xml:space="preserve"> through other networks such as Diversity and Inclusion networks or officers (1</w:t>
      </w:r>
      <w:r w:rsidR="00986346">
        <w:t>5</w:t>
      </w:r>
      <w:r w:rsidR="0039450C">
        <w:t>%), by</w:t>
      </w:r>
      <w:r w:rsidR="00A2515E">
        <w:t xml:space="preserve"> </w:t>
      </w:r>
      <w:r w:rsidR="00FE4241">
        <w:t>celebrating</w:t>
      </w:r>
      <w:r w:rsidR="007D19C0">
        <w:t xml:space="preserve"> days of recognition</w:t>
      </w:r>
      <w:r w:rsidR="00C74588">
        <w:t xml:space="preserve"> </w:t>
      </w:r>
      <w:r w:rsidR="0015670D">
        <w:t>such as</w:t>
      </w:r>
      <w:r w:rsidR="007D19C0">
        <w:t xml:space="preserve"> International Women’s Day, </w:t>
      </w:r>
      <w:r w:rsidR="0015670D">
        <w:t>and</w:t>
      </w:r>
      <w:r w:rsidR="007D19C0">
        <w:t xml:space="preserve"> </w:t>
      </w:r>
      <w:r w:rsidR="007D19C0" w:rsidRPr="007D19C0">
        <w:t>International Day of</w:t>
      </w:r>
      <w:r w:rsidR="007D19C0">
        <w:t xml:space="preserve"> Women and Girls in Sciences</w:t>
      </w:r>
      <w:r w:rsidR="00A2515E">
        <w:t xml:space="preserve"> (</w:t>
      </w:r>
      <w:r w:rsidR="00B7468A">
        <w:t>5</w:t>
      </w:r>
      <w:r w:rsidR="00A2515E">
        <w:t>%)</w:t>
      </w:r>
      <w:r w:rsidR="0015670D">
        <w:t xml:space="preserve"> and</w:t>
      </w:r>
      <w:r w:rsidR="004229A4">
        <w:t xml:space="preserve"> </w:t>
      </w:r>
      <w:r w:rsidR="00FE4241">
        <w:t>promoting</w:t>
      </w:r>
      <w:r w:rsidR="004229A4">
        <w:t xml:space="preserve"> gender equality through internal communications (</w:t>
      </w:r>
      <w:r w:rsidR="00B7468A">
        <w:t>5</w:t>
      </w:r>
      <w:r w:rsidR="0015670D">
        <w:t>%)</w:t>
      </w:r>
      <w:r w:rsidR="00C74588" w:rsidRPr="00C74588">
        <w:t>.</w:t>
      </w:r>
      <w:r w:rsidR="008351F8">
        <w:t xml:space="preserve"> </w:t>
      </w:r>
      <w:r w:rsidR="0039450C">
        <w:t>Some</w:t>
      </w:r>
      <w:r w:rsidR="00E355D9">
        <w:t xml:space="preserve"> </w:t>
      </w:r>
      <w:r w:rsidR="00951E9D">
        <w:t xml:space="preserve">noteworthy </w:t>
      </w:r>
      <w:r w:rsidR="0039450C">
        <w:t>examples</w:t>
      </w:r>
      <w:r w:rsidR="009075B7">
        <w:t xml:space="preserve"> </w:t>
      </w:r>
      <w:r w:rsidR="0023048E">
        <w:t xml:space="preserve">provided in the free-text </w:t>
      </w:r>
      <w:r w:rsidR="009075B7">
        <w:t>are</w:t>
      </w:r>
      <w:r w:rsidR="008351F8">
        <w:t xml:space="preserve"> below:</w:t>
      </w:r>
    </w:p>
    <w:p w14:paraId="7CD1434C" w14:textId="09C637D9" w:rsidR="001F0134" w:rsidRPr="0085666C" w:rsidRDefault="00A2515E" w:rsidP="002368F4">
      <w:pPr>
        <w:ind w:left="720"/>
        <w:rPr>
          <w:rStyle w:val="Emphasis"/>
        </w:rPr>
      </w:pPr>
      <w:r w:rsidRPr="0085666C">
        <w:rPr>
          <w:rStyle w:val="Emphasis"/>
        </w:rPr>
        <w:t xml:space="preserve">The Commission is celebrating International Women’s Day (IWD) by spotlighting </w:t>
      </w:r>
      <w:r w:rsidR="00B54D2D">
        <w:rPr>
          <w:rStyle w:val="Emphasis"/>
        </w:rPr>
        <w:t>2</w:t>
      </w:r>
      <w:r w:rsidRPr="0085666C">
        <w:rPr>
          <w:rStyle w:val="Emphasis"/>
        </w:rPr>
        <w:t xml:space="preserve"> of our own Women Leaders </w:t>
      </w:r>
      <w:r w:rsidR="00C74588" w:rsidRPr="0085666C">
        <w:rPr>
          <w:rStyle w:val="Emphasis"/>
        </w:rPr>
        <w:t xml:space="preserve">for a virtual “Fireside” chat. </w:t>
      </w:r>
      <w:r w:rsidRPr="0085666C">
        <w:rPr>
          <w:rStyle w:val="Emphasis"/>
        </w:rPr>
        <w:t xml:space="preserve">Two of our female deputy Commissioners will speak at the event from a </w:t>
      </w:r>
      <w:r w:rsidRPr="0085666C">
        <w:rPr>
          <w:rStyle w:val="Emphasis"/>
        </w:rPr>
        <w:lastRenderedPageBreak/>
        <w:t>personal perspective, covering hot topics such as work/life balance; the gender pay gap and why we need more w</w:t>
      </w:r>
      <w:r w:rsidR="00C74588" w:rsidRPr="0085666C">
        <w:rPr>
          <w:rStyle w:val="Emphasis"/>
        </w:rPr>
        <w:t>omen in senior roles in the APS</w:t>
      </w:r>
      <w:r w:rsidR="008351F8" w:rsidRPr="0085666C">
        <w:rPr>
          <w:rStyle w:val="Emphasis"/>
        </w:rPr>
        <w:t>.</w:t>
      </w:r>
    </w:p>
    <w:p w14:paraId="63ECEBDA" w14:textId="22CF9C65" w:rsidR="001F3D80" w:rsidRPr="0085666C" w:rsidRDefault="001F3D80" w:rsidP="002368F4">
      <w:pPr>
        <w:ind w:left="720"/>
        <w:rPr>
          <w:rStyle w:val="Emphasis"/>
        </w:rPr>
      </w:pPr>
      <w:r w:rsidRPr="0085666C">
        <w:rPr>
          <w:rStyle w:val="Emphasis"/>
        </w:rPr>
        <w:t xml:space="preserve">Hosting Gender Equality Five plus Five forums annually for </w:t>
      </w:r>
      <w:r w:rsidR="00B54D2D">
        <w:rPr>
          <w:rStyle w:val="Emphasis"/>
        </w:rPr>
        <w:t>5</w:t>
      </w:r>
      <w:r w:rsidRPr="0085666C">
        <w:rPr>
          <w:rStyle w:val="Emphasis"/>
        </w:rPr>
        <w:t xml:space="preserve"> SES to hear from </w:t>
      </w:r>
      <w:r w:rsidR="00B54D2D">
        <w:rPr>
          <w:rStyle w:val="Emphasis"/>
        </w:rPr>
        <w:t>5</w:t>
      </w:r>
      <w:r w:rsidRPr="0085666C">
        <w:rPr>
          <w:rStyle w:val="Emphasis"/>
        </w:rPr>
        <w:t xml:space="preserve"> staff experiences in the workplace around Gender Equality matters – both positive and negative</w:t>
      </w:r>
      <w:r w:rsidR="002368F4" w:rsidRPr="0085666C">
        <w:rPr>
          <w:rStyle w:val="Emphasis"/>
        </w:rPr>
        <w:t>.</w:t>
      </w:r>
    </w:p>
    <w:p w14:paraId="176BD840" w14:textId="1F606EFA" w:rsidR="00012F2D" w:rsidRPr="0085666C" w:rsidRDefault="00012F2D" w:rsidP="005507E5">
      <w:pPr>
        <w:ind w:left="720"/>
        <w:rPr>
          <w:rStyle w:val="Emphasis"/>
        </w:rPr>
      </w:pPr>
      <w:r w:rsidRPr="0085666C">
        <w:rPr>
          <w:rStyle w:val="Emphasis"/>
        </w:rPr>
        <w:t>Using pronouns in signature blocks and installing ‘all gender’ toilets</w:t>
      </w:r>
      <w:r w:rsidR="00877C71" w:rsidRPr="0085666C">
        <w:rPr>
          <w:rStyle w:val="Emphasis"/>
        </w:rPr>
        <w:t>.</w:t>
      </w:r>
    </w:p>
    <w:p w14:paraId="34425B20" w14:textId="6300019E" w:rsidR="00ED2644" w:rsidRPr="00B85090" w:rsidRDefault="00ED2644" w:rsidP="00024BFB">
      <w:pPr>
        <w:pStyle w:val="Heading3"/>
      </w:pPr>
      <w:bookmarkStart w:id="390" w:name="_Toc165991653"/>
      <w:bookmarkStart w:id="391" w:name="_Toc166082951"/>
      <w:bookmarkStart w:id="392" w:name="_Toc166160315"/>
      <w:bookmarkStart w:id="393" w:name="_Toc166168014"/>
      <w:bookmarkStart w:id="394" w:name="_Toc168329171"/>
      <w:bookmarkStart w:id="395" w:name="_Toc168322828"/>
      <w:bookmarkStart w:id="396" w:name="_Toc168387944"/>
      <w:bookmarkStart w:id="397" w:name="_Toc168405599"/>
      <w:bookmarkStart w:id="398" w:name="_Toc168408637"/>
      <w:bookmarkStart w:id="399" w:name="_Toc168411038"/>
      <w:bookmarkStart w:id="400" w:name="_Toc168405898"/>
      <w:bookmarkStart w:id="401" w:name="_Toc168473706"/>
      <w:bookmarkStart w:id="402" w:name="_Toc168471604"/>
      <w:bookmarkStart w:id="403" w:name="_Toc168484664"/>
      <w:bookmarkStart w:id="404" w:name="_Toc168495133"/>
      <w:bookmarkStart w:id="405" w:name="_Toc168495582"/>
      <w:bookmarkStart w:id="406" w:name="_Toc169103250"/>
      <w:bookmarkStart w:id="407" w:name="_Toc169104724"/>
      <w:bookmarkStart w:id="408" w:name="_Toc169278440"/>
      <w:bookmarkStart w:id="409" w:name="_Toc169536879"/>
      <w:bookmarkStart w:id="410" w:name="_Toc169708629"/>
      <w:bookmarkStart w:id="411" w:name="_Toc170119673"/>
      <w:bookmarkStart w:id="412" w:name="_Toc170138056"/>
      <w:bookmarkStart w:id="413" w:name="_Toc170140129"/>
      <w:r w:rsidRPr="00B85090">
        <w:t>Leader visibility on gender equality</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9ECA8DB" w14:textId="0603ED5E" w:rsidR="00C54AE3" w:rsidRDefault="001D70E9" w:rsidP="00ED2644">
      <w:r>
        <w:t xml:space="preserve">Visible leadership support for gender equality </w:t>
      </w:r>
      <w:r w:rsidR="00B85090">
        <w:t>is another</w:t>
      </w:r>
      <w:r w:rsidR="008C6C12">
        <w:t xml:space="preserve"> dimension of agencies’ implementation of the Strategy</w:t>
      </w:r>
      <w:r>
        <w:t xml:space="preserve">. </w:t>
      </w:r>
      <w:r w:rsidR="009B47C4">
        <w:t>The GES Survey showed that 60% of</w:t>
      </w:r>
      <w:r w:rsidR="000C7E66">
        <w:t xml:space="preserve"> responding</w:t>
      </w:r>
      <w:r w:rsidR="009B47C4">
        <w:t xml:space="preserve"> agencies reported that their leaders had spoken about gender equality at public engagements.</w:t>
      </w:r>
      <w:r w:rsidR="00CA10E3">
        <w:t xml:space="preserve"> </w:t>
      </w:r>
      <w:r w:rsidR="00B37A2D">
        <w:t>When agencies were asked in what ways leaders engaged with employees about gender equality,</w:t>
      </w:r>
      <w:r w:rsidR="00FF208D">
        <w:t xml:space="preserve"> the majority were able to list a variety of methods</w:t>
      </w:r>
      <w:r w:rsidR="008C6C12">
        <w:t xml:space="preserve"> employed</w:t>
      </w:r>
      <w:r w:rsidR="00FF208D" w:rsidDel="008C6C12">
        <w:t xml:space="preserve"> </w:t>
      </w:r>
      <w:r w:rsidR="008C6C12">
        <w:t>and o</w:t>
      </w:r>
      <w:r w:rsidR="007F4CFE">
        <w:t xml:space="preserve">nly 6% of agencies did not </w:t>
      </w:r>
      <w:r w:rsidR="008C6C12">
        <w:t xml:space="preserve">express </w:t>
      </w:r>
      <w:r w:rsidR="007F4CFE">
        <w:t>any engagement</w:t>
      </w:r>
      <w:r w:rsidR="00D42FDB">
        <w:t xml:space="preserve"> by their leaders</w:t>
      </w:r>
      <w:r w:rsidR="007F4CFE">
        <w:t>.</w:t>
      </w:r>
      <w:r w:rsidR="00B37A2D">
        <w:t xml:space="preserve"> </w:t>
      </w:r>
    </w:p>
    <w:p w14:paraId="79314C31" w14:textId="70DDAF94" w:rsidR="00ED2644" w:rsidRDefault="00FF208D" w:rsidP="00ED2644">
      <w:r>
        <w:t>S</w:t>
      </w:r>
      <w:r w:rsidR="00AB0C54">
        <w:t>ome common</w:t>
      </w:r>
      <w:r w:rsidR="00B37A2D">
        <w:t>ly reported methods</w:t>
      </w:r>
      <w:r w:rsidR="00ED2644">
        <w:t xml:space="preserve"> </w:t>
      </w:r>
      <w:r w:rsidR="00C54AE3">
        <w:t>included</w:t>
      </w:r>
      <w:r w:rsidR="00ED2644">
        <w:t>:</w:t>
      </w:r>
    </w:p>
    <w:p w14:paraId="51662D47" w14:textId="1B4DB6FE" w:rsidR="00850272" w:rsidRPr="00654020" w:rsidRDefault="000C7E66" w:rsidP="00F9645E">
      <w:pPr>
        <w:pStyle w:val="BulletLevel1"/>
        <w:numPr>
          <w:ilvl w:val="0"/>
          <w:numId w:val="45"/>
        </w:numPr>
      </w:pPr>
      <w:proofErr w:type="gramStart"/>
      <w:r>
        <w:t>a</w:t>
      </w:r>
      <w:r w:rsidR="00850272" w:rsidRPr="00654020">
        <w:t>ctively</w:t>
      </w:r>
      <w:proofErr w:type="gramEnd"/>
      <w:r w:rsidR="00850272" w:rsidRPr="00654020">
        <w:t xml:space="preserve"> supporting employee participation in gender network activities and events (51%)</w:t>
      </w:r>
    </w:p>
    <w:p w14:paraId="19ABFB1C" w14:textId="75F3DD4F" w:rsidR="00ED2644" w:rsidRDefault="000C7E66" w:rsidP="00F9645E">
      <w:pPr>
        <w:pStyle w:val="BulletLevel1"/>
        <w:numPr>
          <w:ilvl w:val="0"/>
          <w:numId w:val="45"/>
        </w:numPr>
      </w:pPr>
      <w:proofErr w:type="gramStart"/>
      <w:r>
        <w:t>r</w:t>
      </w:r>
      <w:r w:rsidR="00ED2644">
        <w:t>egularly</w:t>
      </w:r>
      <w:proofErr w:type="gramEnd"/>
      <w:r w:rsidR="00ED2644">
        <w:t xml:space="preserve"> communicating ab</w:t>
      </w:r>
      <w:r w:rsidR="00CA10E3">
        <w:t>out gender equality</w:t>
      </w:r>
      <w:r w:rsidR="00623215">
        <w:t xml:space="preserve"> (such as on days of significance, all staff </w:t>
      </w:r>
      <w:r w:rsidR="0017637F">
        <w:t xml:space="preserve">presentations, </w:t>
      </w:r>
      <w:r w:rsidR="00623215">
        <w:t>emails</w:t>
      </w:r>
      <w:r w:rsidR="0017637F">
        <w:t>, newsletters and intranet articles and at meetings</w:t>
      </w:r>
      <w:r w:rsidR="00623215">
        <w:t>)</w:t>
      </w:r>
      <w:r w:rsidR="00CA10E3">
        <w:t xml:space="preserve"> (32%</w:t>
      </w:r>
      <w:r w:rsidR="00ED2644">
        <w:t>)</w:t>
      </w:r>
    </w:p>
    <w:p w14:paraId="246B8A2A" w14:textId="01733BE2" w:rsidR="00850272" w:rsidRDefault="000C7E66" w:rsidP="00F9645E">
      <w:pPr>
        <w:pStyle w:val="BulletLevel1"/>
        <w:numPr>
          <w:ilvl w:val="0"/>
          <w:numId w:val="45"/>
        </w:numPr>
      </w:pPr>
      <w:proofErr w:type="gramStart"/>
      <w:r>
        <w:t>b</w:t>
      </w:r>
      <w:r w:rsidR="00850272">
        <w:t>ecoming</w:t>
      </w:r>
      <w:proofErr w:type="gramEnd"/>
      <w:r w:rsidR="00850272">
        <w:t xml:space="preserve"> gender equality champions or actively engaging with gender equality</w:t>
      </w:r>
      <w:r w:rsidR="00B37A2D">
        <w:t>/diversity</w:t>
      </w:r>
      <w:r w:rsidR="00850272">
        <w:t xml:space="preserve"> network champions</w:t>
      </w:r>
      <w:r w:rsidR="00654020">
        <w:t xml:space="preserve"> (31</w:t>
      </w:r>
      <w:r w:rsidR="00850272">
        <w:t>%)</w:t>
      </w:r>
    </w:p>
    <w:p w14:paraId="6329EAC8" w14:textId="4C031A9D" w:rsidR="0017637F" w:rsidRDefault="000C7E66" w:rsidP="00F9645E">
      <w:pPr>
        <w:pStyle w:val="BulletLevel1"/>
        <w:numPr>
          <w:ilvl w:val="0"/>
          <w:numId w:val="45"/>
        </w:numPr>
      </w:pPr>
      <w:proofErr w:type="gramStart"/>
      <w:r>
        <w:t>s</w:t>
      </w:r>
      <w:r w:rsidR="008C6C12">
        <w:t>peaking</w:t>
      </w:r>
      <w:proofErr w:type="gramEnd"/>
      <w:r w:rsidR="008C6C12">
        <w:t xml:space="preserve"> at public forums or in panel discussions </w:t>
      </w:r>
      <w:r w:rsidR="00850272">
        <w:t xml:space="preserve">to share their </w:t>
      </w:r>
      <w:r w:rsidR="00654020">
        <w:t xml:space="preserve">personal career </w:t>
      </w:r>
      <w:r w:rsidR="00850272">
        <w:t>experiences (25%)</w:t>
      </w:r>
      <w:r>
        <w:t>.</w:t>
      </w:r>
    </w:p>
    <w:p w14:paraId="598461EF" w14:textId="7810B56F" w:rsidR="000A6CBD" w:rsidRDefault="002A34F8" w:rsidP="000A6DD6">
      <w:r w:rsidRPr="002A34F8">
        <w:t>Some</w:t>
      </w:r>
      <w:r>
        <w:t xml:space="preserve"> examples include:</w:t>
      </w:r>
    </w:p>
    <w:p w14:paraId="7225D181" w14:textId="3FEE77BE" w:rsidR="007629BD" w:rsidRPr="0085666C" w:rsidRDefault="002A34F8" w:rsidP="002368F4">
      <w:pPr>
        <w:ind w:left="720"/>
        <w:rPr>
          <w:rStyle w:val="Emphasis"/>
        </w:rPr>
      </w:pPr>
      <w:r w:rsidRPr="0085666C">
        <w:rPr>
          <w:rStyle w:val="Emphasis"/>
        </w:rPr>
        <w:t>Our leaders play key roles in Diversity and Inclusion events (such as International Women’s Day, IDAHOBIT and Wear it Purple Day) including being members in panel discus</w:t>
      </w:r>
      <w:r w:rsidR="005C31D6" w:rsidRPr="0085666C">
        <w:rPr>
          <w:rStyle w:val="Emphasis"/>
        </w:rPr>
        <w:t xml:space="preserve">sions and providing speeches. </w:t>
      </w:r>
      <w:r w:rsidR="00E35847" w:rsidRPr="0085666C">
        <w:rPr>
          <w:rStyle w:val="Emphasis"/>
        </w:rPr>
        <w:t xml:space="preserve">Our senior </w:t>
      </w:r>
      <w:r w:rsidRPr="0085666C">
        <w:rPr>
          <w:rStyle w:val="Emphasis"/>
        </w:rPr>
        <w:t xml:space="preserve">leaders regularly include gender issues in their regular communications with the department, including </w:t>
      </w:r>
      <w:r w:rsidR="005C31D6" w:rsidRPr="0085666C">
        <w:rPr>
          <w:rStyle w:val="Emphasis"/>
        </w:rPr>
        <w:t>our Secretary’s weekly message.</w:t>
      </w:r>
      <w:r w:rsidRPr="0085666C">
        <w:rPr>
          <w:rStyle w:val="Emphasis"/>
        </w:rPr>
        <w:t xml:space="preserve"> The department has </w:t>
      </w:r>
      <w:r w:rsidR="00B54D2D">
        <w:rPr>
          <w:rStyle w:val="Emphasis"/>
        </w:rPr>
        <w:t>2</w:t>
      </w:r>
      <w:r w:rsidRPr="0085666C">
        <w:rPr>
          <w:rStyle w:val="Emphasis"/>
        </w:rPr>
        <w:t xml:space="preserve"> SES Gender Equity Network Champions that are senior leaders who work closely with the Network Co-Chairs and members to deliver a range of initiatives to increase gender inclusion across the department.</w:t>
      </w:r>
    </w:p>
    <w:p w14:paraId="255F3105" w14:textId="00C68BCD" w:rsidR="002A34F8" w:rsidRPr="0085666C" w:rsidRDefault="002A34F8" w:rsidP="002368F4">
      <w:pPr>
        <w:ind w:left="720"/>
        <w:rPr>
          <w:rStyle w:val="Emphasis"/>
        </w:rPr>
      </w:pPr>
      <w:r w:rsidRPr="0085666C">
        <w:rPr>
          <w:rStyle w:val="Emphasis"/>
        </w:rPr>
        <w:t>Our Executive Diversity Champion plays a pivotal role in leading engagement relating to a range of diversity and inclusion initiativ</w:t>
      </w:r>
      <w:r w:rsidR="005C31D6" w:rsidRPr="0085666C">
        <w:rPr>
          <w:rStyle w:val="Emphasis"/>
        </w:rPr>
        <w:t xml:space="preserve">es including gender equality. </w:t>
      </w:r>
      <w:r w:rsidRPr="0085666C">
        <w:rPr>
          <w:rStyle w:val="Emphasis"/>
        </w:rPr>
        <w:t>Our leaders are visible allies and supporters of gender equality and have shared their personal stories and lived experience. They also participate in internal diversity and inclusion events and role model our gender equality policies and actions.</w:t>
      </w:r>
    </w:p>
    <w:p w14:paraId="45275B3E" w14:textId="0631B996" w:rsidR="005C31D6" w:rsidRPr="0085666C" w:rsidRDefault="005C31D6" w:rsidP="002368F4">
      <w:pPr>
        <w:ind w:left="720"/>
        <w:rPr>
          <w:rStyle w:val="Emphasis"/>
        </w:rPr>
      </w:pPr>
      <w:r w:rsidRPr="0085666C">
        <w:rPr>
          <w:rStyle w:val="Emphasis"/>
        </w:rPr>
        <w:t xml:space="preserve">Speaking explicitly about the need to work towards a 50/50 workforce by attracting and retaining more men to the Library; ensuring male candidates are interviewed for advertised roles; explicitly requesting </w:t>
      </w:r>
      <w:r w:rsidRPr="0085666C">
        <w:rPr>
          <w:rStyle w:val="Emphasis"/>
        </w:rPr>
        <w:lastRenderedPageBreak/>
        <w:t>investigation and analysis of 'clustering' of women in lower level roles at the Library to understand whether women in lower level roles are less likely to seek promotion than men, what the reasons might be, and implementing a</w:t>
      </w:r>
      <w:r w:rsidR="007C581E">
        <w:rPr>
          <w:rStyle w:val="Emphasis"/>
        </w:rPr>
        <w:t>ny</w:t>
      </w:r>
      <w:r w:rsidRPr="0085666C">
        <w:rPr>
          <w:rStyle w:val="Emphasis"/>
        </w:rPr>
        <w:t xml:space="preserve"> required change programs.</w:t>
      </w:r>
      <w:r w:rsidR="00E35847" w:rsidRPr="0085666C">
        <w:rPr>
          <w:rStyle w:val="Emphasis"/>
        </w:rPr>
        <w:t>’</w:t>
      </w:r>
      <w:r w:rsidR="001E79B1">
        <w:rPr>
          <w:rStyle w:val="Emphasis"/>
        </w:rPr>
        <w:t xml:space="preserve"> (</w:t>
      </w:r>
      <w:r w:rsidR="00C054AD">
        <w:rPr>
          <w:rStyle w:val="Emphasis"/>
        </w:rPr>
        <w:t>The National Library of Australia</w:t>
      </w:r>
      <w:r w:rsidR="001E79B1">
        <w:rPr>
          <w:rStyle w:val="Emphasis"/>
        </w:rPr>
        <w:t>)</w:t>
      </w:r>
    </w:p>
    <w:p w14:paraId="7F4E942D" w14:textId="4F7EF5B6" w:rsidR="00BC3EE3" w:rsidRDefault="000F497C" w:rsidP="00313A47">
      <w:pPr>
        <w:pStyle w:val="Heading3"/>
      </w:pPr>
      <w:r>
        <w:t>APSC S</w:t>
      </w:r>
      <w:r w:rsidR="0009116C">
        <w:t xml:space="preserve">trategy </w:t>
      </w:r>
      <w:r w:rsidR="00BC3EE3">
        <w:t>implementation</w:t>
      </w:r>
      <w:r w:rsidR="0009116C">
        <w:t xml:space="preserve"> efforts across its networks</w:t>
      </w:r>
      <w:r w:rsidR="00BC3EE3">
        <w:t xml:space="preserve"> </w:t>
      </w:r>
    </w:p>
    <w:p w14:paraId="7B0B5644" w14:textId="6F7B21BC" w:rsidR="00E92352" w:rsidRDefault="0009116C" w:rsidP="004A4090">
      <w:r>
        <w:t>As the Strategy</w:t>
      </w:r>
      <w:r w:rsidR="000B43EC">
        <w:t>’s</w:t>
      </w:r>
      <w:r>
        <w:t xml:space="preserve"> owners, the APSC has used its networks to </w:t>
      </w:r>
      <w:r w:rsidR="0006734E">
        <w:t>raise awareness</w:t>
      </w:r>
      <w:r>
        <w:t xml:space="preserve"> of the </w:t>
      </w:r>
      <w:r w:rsidR="0006734E">
        <w:t>Strategy and its</w:t>
      </w:r>
      <w:r>
        <w:t xml:space="preserve"> gender equality initiatives.</w:t>
      </w:r>
      <w:r w:rsidR="0098752B">
        <w:t xml:space="preserve"> The APSC l</w:t>
      </w:r>
      <w:r w:rsidR="0098752B" w:rsidRPr="00BC3EE3">
        <w:t>iaises closely with the APS HR Professional Stream to share and advertise gender information across the HR network.</w:t>
      </w:r>
      <w:r w:rsidR="00E92352">
        <w:t xml:space="preserve"> </w:t>
      </w:r>
      <w:r w:rsidR="0023793A" w:rsidRPr="00E56354">
        <w:t>The</w:t>
      </w:r>
      <w:r w:rsidR="0006734E">
        <w:t xml:space="preserve"> APSC is</w:t>
      </w:r>
      <w:r w:rsidR="0098752B">
        <w:t xml:space="preserve"> also</w:t>
      </w:r>
      <w:r w:rsidR="0006734E">
        <w:t xml:space="preserve"> an active contributor to the</w:t>
      </w:r>
      <w:r w:rsidR="005F2151" w:rsidRPr="00E56354">
        <w:t xml:space="preserve"> </w:t>
      </w:r>
      <w:hyperlink r:id="rId31" w:history="1">
        <w:r w:rsidR="005F2151">
          <w:rPr>
            <w:rStyle w:val="Hyperlink"/>
          </w:rPr>
          <w:t>Cross Agency Gender Equity Network</w:t>
        </w:r>
      </w:hyperlink>
      <w:r w:rsidR="005F2151">
        <w:rPr>
          <w:color w:val="1F497D"/>
        </w:rPr>
        <w:t xml:space="preserve"> </w:t>
      </w:r>
      <w:r w:rsidR="005F2151" w:rsidRPr="00E56354">
        <w:t>(CAGEN</w:t>
      </w:r>
      <w:r w:rsidR="0023793A" w:rsidRPr="00E56354">
        <w:t>)</w:t>
      </w:r>
      <w:r w:rsidR="0006734E">
        <w:t>, which</w:t>
      </w:r>
      <w:r w:rsidR="0023793A" w:rsidRPr="00E56354">
        <w:t xml:space="preserve"> </w:t>
      </w:r>
      <w:r w:rsidR="00A024E8">
        <w:t xml:space="preserve">seeks to </w:t>
      </w:r>
      <w:r w:rsidR="0023793A" w:rsidRPr="00E56354">
        <w:t>drive change towards gender equality across the APS</w:t>
      </w:r>
      <w:r w:rsidR="00E92352">
        <w:t>:</w:t>
      </w:r>
    </w:p>
    <w:p w14:paraId="22A034CB" w14:textId="636D1ABF" w:rsidR="0098752B" w:rsidRDefault="005F2151" w:rsidP="00F9645E">
      <w:pPr>
        <w:pStyle w:val="ListParagraph"/>
        <w:numPr>
          <w:ilvl w:val="0"/>
          <w:numId w:val="52"/>
        </w:numPr>
      </w:pPr>
      <w:r w:rsidRPr="00E56354">
        <w:t>In 2024</w:t>
      </w:r>
      <w:r w:rsidR="00F11EA5">
        <w:t>,</w:t>
      </w:r>
      <w:r w:rsidRPr="00E56354">
        <w:t xml:space="preserve"> the APSC presented to the CAGEN about the Strategy and Action Area 5 </w:t>
      </w:r>
      <w:r w:rsidR="000D6D80">
        <w:t>(</w:t>
      </w:r>
      <w:r w:rsidRPr="00744953">
        <w:t>Gender Data</w:t>
      </w:r>
      <w:r w:rsidR="000D6D80">
        <w:t>)</w:t>
      </w:r>
      <w:r w:rsidRPr="00E56354">
        <w:t>, and the work of the APSC on the APS gender pay gap</w:t>
      </w:r>
      <w:r w:rsidRPr="00E56354" w:rsidDel="00F11EA5">
        <w:t xml:space="preserve"> and gender data</w:t>
      </w:r>
      <w:r w:rsidRPr="00E56354">
        <w:t xml:space="preserve">. The APSC will continue </w:t>
      </w:r>
      <w:r w:rsidR="00EC0F94">
        <w:t xml:space="preserve">to </w:t>
      </w:r>
      <w:r w:rsidRPr="00E56354">
        <w:t>educate APS agencies about Action Area 5 of the Strategy</w:t>
      </w:r>
      <w:r w:rsidR="00F11EA5">
        <w:t xml:space="preserve"> as well as any related work of the APSC on these topics.</w:t>
      </w:r>
      <w:r w:rsidRPr="00E56354">
        <w:t xml:space="preserve"> This work</w:t>
      </w:r>
      <w:r w:rsidRPr="00E56354" w:rsidDel="00F11EA5">
        <w:t xml:space="preserve"> contributes to ensuring that APS agencies are </w:t>
      </w:r>
      <w:r w:rsidRPr="00E56354">
        <w:t>aware of their agency-level gender pay gap and are also tracking data on their gender composition across all classification levels, geographical locations and key job types.</w:t>
      </w:r>
      <w:r w:rsidR="0098752B">
        <w:t xml:space="preserve"> </w:t>
      </w:r>
    </w:p>
    <w:p w14:paraId="6BA8011A" w14:textId="77777777" w:rsidR="008E736F" w:rsidRDefault="008E736F" w:rsidP="00126350">
      <w:pPr>
        <w:pStyle w:val="ListParagraph"/>
        <w:numPr>
          <w:ilvl w:val="0"/>
          <w:numId w:val="0"/>
        </w:numPr>
        <w:ind w:left="720"/>
      </w:pPr>
    </w:p>
    <w:p w14:paraId="623D0CF3" w14:textId="33BA5B48" w:rsidR="00D95E4D" w:rsidRDefault="005F2151" w:rsidP="00F9645E">
      <w:pPr>
        <w:pStyle w:val="ListParagraph"/>
        <w:numPr>
          <w:ilvl w:val="0"/>
          <w:numId w:val="52"/>
        </w:numPr>
      </w:pPr>
      <w:r w:rsidRPr="00E56354">
        <w:t xml:space="preserve">The APSC is </w:t>
      </w:r>
      <w:r w:rsidRPr="00E56354" w:rsidDel="00F11EA5">
        <w:t xml:space="preserve">also </w:t>
      </w:r>
      <w:r w:rsidRPr="00E56354">
        <w:t xml:space="preserve">a member of the CAGEN Working Group and has contributed to the 2023-24 Working Group Project on remote and isolated work policies across the APS. The Working Group, led by the current CAGEN co-chairs and secretariat from the APS Department of Industry, Science and Resources, have developed the </w:t>
      </w:r>
      <w:r w:rsidRPr="00E92352">
        <w:rPr>
          <w:i/>
        </w:rPr>
        <w:t>Remote work and travel policies across the APS: Better Practice Guide,</w:t>
      </w:r>
      <w:r w:rsidRPr="00E56354">
        <w:t xml:space="preserve"> which is due to be finalised by July 2024. The CAGEN Working Group’s Better Practice Guide </w:t>
      </w:r>
      <w:r w:rsidR="00F11EA5">
        <w:t>references</w:t>
      </w:r>
      <w:r w:rsidR="003A0B5C">
        <w:t xml:space="preserve"> the Strategy</w:t>
      </w:r>
      <w:r w:rsidRPr="00E56354">
        <w:t>, and the project contributes to APS</w:t>
      </w:r>
      <w:r w:rsidR="00F11EA5">
        <w:t>-</w:t>
      </w:r>
      <w:r w:rsidRPr="00E56354">
        <w:t xml:space="preserve">wide work </w:t>
      </w:r>
      <w:r w:rsidR="00F11EA5">
        <w:t>towards</w:t>
      </w:r>
      <w:r w:rsidR="00F11EA5" w:rsidRPr="00E56354">
        <w:t xml:space="preserve"> </w:t>
      </w:r>
      <w:r w:rsidRPr="00E56354">
        <w:t>Action Area 2 of the Strategy</w:t>
      </w:r>
      <w:r w:rsidR="0023793A" w:rsidRPr="00E56354">
        <w:t>.</w:t>
      </w:r>
      <w:bookmarkStart w:id="414" w:name="_Toc168411039"/>
    </w:p>
    <w:bookmarkEnd w:id="414"/>
    <w:p w14:paraId="04B53C88" w14:textId="15332E1B" w:rsidR="00351505" w:rsidRPr="000301D3" w:rsidRDefault="00351505" w:rsidP="004A4090">
      <w:r w:rsidRPr="006333F4">
        <w:rPr>
          <w:rFonts w:cstheme="minorHAnsi"/>
        </w:rPr>
        <w:br w:type="page"/>
      </w:r>
    </w:p>
    <w:p w14:paraId="42F1D103" w14:textId="46864768" w:rsidR="00DC175A" w:rsidRDefault="00AD42D7" w:rsidP="00DC175A">
      <w:pPr>
        <w:pStyle w:val="Heading1"/>
      </w:pPr>
      <w:bookmarkStart w:id="415" w:name="_Toc165991656"/>
      <w:bookmarkStart w:id="416" w:name="_Toc166082954"/>
      <w:bookmarkStart w:id="417" w:name="_Toc166160318"/>
      <w:bookmarkStart w:id="418" w:name="_Toc166168017"/>
      <w:bookmarkStart w:id="419" w:name="_Toc168329172"/>
      <w:bookmarkStart w:id="420" w:name="_Toc168322829"/>
      <w:bookmarkStart w:id="421" w:name="_Toc168387945"/>
      <w:bookmarkStart w:id="422" w:name="_Toc168405600"/>
      <w:bookmarkStart w:id="423" w:name="_Toc168408638"/>
      <w:bookmarkStart w:id="424" w:name="_Toc168411040"/>
      <w:bookmarkStart w:id="425" w:name="_Toc168405899"/>
      <w:bookmarkStart w:id="426" w:name="_Toc168473707"/>
      <w:bookmarkStart w:id="427" w:name="_Toc168471605"/>
      <w:bookmarkStart w:id="428" w:name="_Toc168484665"/>
      <w:bookmarkStart w:id="429" w:name="_Toc168495134"/>
      <w:bookmarkStart w:id="430" w:name="_Toc168495583"/>
      <w:bookmarkStart w:id="431" w:name="_Toc169103251"/>
      <w:bookmarkStart w:id="432" w:name="_Toc169104725"/>
      <w:bookmarkStart w:id="433" w:name="_Toc169278441"/>
      <w:bookmarkStart w:id="434" w:name="_Toc169536880"/>
      <w:bookmarkStart w:id="435" w:name="_Toc169708630"/>
      <w:bookmarkStart w:id="436" w:name="_Toc170119674"/>
      <w:bookmarkStart w:id="437" w:name="_Toc170138057"/>
      <w:bookmarkStart w:id="438" w:name="_Toc170140130"/>
      <w:bookmarkStart w:id="439" w:name="_Toc181715726"/>
      <w:r>
        <w:lastRenderedPageBreak/>
        <w:t xml:space="preserve">Strategy impacts on </w:t>
      </w:r>
      <w:r w:rsidR="00351505">
        <w:t>Action Area 2</w:t>
      </w:r>
      <w:r w:rsidR="00351505" w:rsidRPr="00736350">
        <w:t xml:space="preserve">: </w:t>
      </w:r>
      <w:r w:rsidR="00351505">
        <w:t>Respectful workplaces and empowered people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tbl>
      <w:tblPr>
        <w:tblStyle w:val="TableGrid"/>
        <w:tblW w:w="0" w:type="auto"/>
        <w:tblLook w:val="04A0" w:firstRow="1" w:lastRow="0" w:firstColumn="1" w:lastColumn="0" w:noHBand="0" w:noVBand="1"/>
        <w:tblCaption w:val="Strategy Impacts"/>
        <w:tblDescription w:val="Strategy impacts on Action Area 2: Respectful workplaces and empowered people"/>
      </w:tblPr>
      <w:tblGrid>
        <w:gridCol w:w="3335"/>
        <w:gridCol w:w="1472"/>
        <w:gridCol w:w="4253"/>
      </w:tblGrid>
      <w:tr w:rsidR="005F6814" w14:paraId="10588D8F" w14:textId="77777777" w:rsidTr="00AD566C">
        <w:trPr>
          <w:trHeight w:val="432"/>
          <w:tblHeader/>
        </w:trPr>
        <w:tc>
          <w:tcPr>
            <w:tcW w:w="3335" w:type="dxa"/>
            <w:shd w:val="clear" w:color="auto" w:fill="4DA3AB" w:themeFill="accent1"/>
          </w:tcPr>
          <w:p w14:paraId="2A618E5B" w14:textId="5C9EE9D0" w:rsidR="005F6814" w:rsidRPr="009A4425" w:rsidRDefault="005F6814" w:rsidP="005F6814">
            <w:pPr>
              <w:rPr>
                <w:b/>
                <w:sz w:val="24"/>
                <w:szCs w:val="24"/>
              </w:rPr>
            </w:pPr>
            <w:bookmarkStart w:id="440" w:name="_Toc165991658"/>
            <w:bookmarkStart w:id="441" w:name="_Toc166082956"/>
            <w:bookmarkStart w:id="442" w:name="_Toc166160320"/>
            <w:bookmarkStart w:id="443" w:name="_Toc166168019"/>
            <w:bookmarkStart w:id="444" w:name="_Toc168329174"/>
            <w:bookmarkStart w:id="445" w:name="_Toc168322831"/>
            <w:bookmarkStart w:id="446" w:name="_Toc168387947"/>
            <w:bookmarkStart w:id="447" w:name="_Toc168405602"/>
            <w:bookmarkStart w:id="448" w:name="_Toc168408640"/>
            <w:bookmarkStart w:id="449" w:name="_Toc168411042"/>
            <w:bookmarkStart w:id="450" w:name="_Toc168405901"/>
            <w:bookmarkStart w:id="451" w:name="_Toc168473709"/>
            <w:bookmarkStart w:id="452" w:name="_Toc168471607"/>
            <w:bookmarkStart w:id="453" w:name="_Toc168484667"/>
            <w:bookmarkStart w:id="454" w:name="_Toc168495136"/>
            <w:bookmarkStart w:id="455" w:name="_Toc168495585"/>
            <w:bookmarkStart w:id="456" w:name="_Toc169103253"/>
            <w:bookmarkStart w:id="457" w:name="_Toc169104727"/>
            <w:bookmarkStart w:id="458" w:name="_Toc169278443"/>
            <w:bookmarkStart w:id="459" w:name="_Toc169536882"/>
            <w:r w:rsidRPr="009A4425">
              <w:rPr>
                <w:b/>
                <w:sz w:val="24"/>
                <w:szCs w:val="24"/>
              </w:rPr>
              <w:t>Action</w:t>
            </w:r>
          </w:p>
        </w:tc>
        <w:tc>
          <w:tcPr>
            <w:tcW w:w="1472" w:type="dxa"/>
            <w:shd w:val="clear" w:color="auto" w:fill="4DA3AB" w:themeFill="accent1"/>
          </w:tcPr>
          <w:p w14:paraId="1E2F4F8D" w14:textId="1D3FB0C8" w:rsidR="005F6814" w:rsidRPr="009A4425" w:rsidRDefault="00D537F9" w:rsidP="005F6814">
            <w:pPr>
              <w:rPr>
                <w:b/>
                <w:sz w:val="24"/>
                <w:szCs w:val="24"/>
              </w:rPr>
            </w:pPr>
            <w:r>
              <w:rPr>
                <w:b/>
                <w:sz w:val="24"/>
                <w:szCs w:val="24"/>
              </w:rPr>
              <w:t xml:space="preserve">Status </w:t>
            </w:r>
          </w:p>
        </w:tc>
        <w:tc>
          <w:tcPr>
            <w:tcW w:w="4253" w:type="dxa"/>
            <w:shd w:val="clear" w:color="auto" w:fill="4DA3AB" w:themeFill="accent1"/>
          </w:tcPr>
          <w:p w14:paraId="180B9B7B"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5CADF314" w14:textId="77777777" w:rsidTr="005F6814">
        <w:trPr>
          <w:trHeight w:val="3070"/>
        </w:trPr>
        <w:tc>
          <w:tcPr>
            <w:tcW w:w="3335" w:type="dxa"/>
            <w:shd w:val="clear" w:color="auto" w:fill="auto"/>
          </w:tcPr>
          <w:p w14:paraId="303B728E" w14:textId="77777777" w:rsidR="005F6814" w:rsidRDefault="005F6814" w:rsidP="005F6814">
            <w:pPr>
              <w:rPr>
                <w:b/>
              </w:rPr>
            </w:pPr>
            <w:r>
              <w:rPr>
                <w:b/>
              </w:rPr>
              <w:t>(</w:t>
            </w:r>
            <w:r w:rsidRPr="004937DD">
              <w:rPr>
                <w:b/>
              </w:rPr>
              <w:t xml:space="preserve">Minimum standard) </w:t>
            </w:r>
            <w:r w:rsidRPr="004A4090">
              <w:t>Preventing gender-based harassment and discrimination, sexual harassment, sexual assault and bullying</w:t>
            </w:r>
            <w:r>
              <w:t>.</w:t>
            </w:r>
          </w:p>
          <w:p w14:paraId="73A66FA0" w14:textId="77777777" w:rsidR="005F6814" w:rsidRDefault="005F6814" w:rsidP="00F9645E">
            <w:pPr>
              <w:pStyle w:val="BulletLevel1"/>
              <w:numPr>
                <w:ilvl w:val="0"/>
                <w:numId w:val="40"/>
              </w:numPr>
            </w:pPr>
            <w:r>
              <w:t>Leaders reinforce standards of behaviour.</w:t>
            </w:r>
          </w:p>
          <w:p w14:paraId="56099932" w14:textId="77777777" w:rsidR="006E644B" w:rsidRDefault="005F6814" w:rsidP="00F9645E">
            <w:pPr>
              <w:pStyle w:val="BulletLevel1"/>
              <w:numPr>
                <w:ilvl w:val="0"/>
                <w:numId w:val="40"/>
              </w:numPr>
            </w:pPr>
            <w:r>
              <w:t xml:space="preserve">Policies outline strategies for prevention, formal reporting and review processes and consequences. </w:t>
            </w:r>
          </w:p>
          <w:p w14:paraId="53153640" w14:textId="1F2E80A2" w:rsidR="005F6814" w:rsidRDefault="005F6814" w:rsidP="006E644B">
            <w:pPr>
              <w:pStyle w:val="BulletLevel1"/>
              <w:ind w:left="0" w:firstLine="0"/>
            </w:pPr>
          </w:p>
        </w:tc>
        <w:tc>
          <w:tcPr>
            <w:tcW w:w="1472" w:type="dxa"/>
            <w:shd w:val="clear" w:color="auto" w:fill="auto"/>
          </w:tcPr>
          <w:p w14:paraId="6FCF0918" w14:textId="77777777" w:rsidR="005F6814" w:rsidRPr="00CB1F5C" w:rsidRDefault="005F6814" w:rsidP="005F6814">
            <w:pPr>
              <w:rPr>
                <w:b/>
              </w:rPr>
            </w:pPr>
            <w:r>
              <w:rPr>
                <w:b/>
              </w:rPr>
              <w:t>Progress made</w:t>
            </w:r>
            <w:r w:rsidRPr="00CB1F5C">
              <w:rPr>
                <w:b/>
              </w:rPr>
              <w:t xml:space="preserve"> </w:t>
            </w:r>
          </w:p>
          <w:p w14:paraId="749CC15F" w14:textId="77777777" w:rsidR="005F6814" w:rsidRPr="00CB1F5C" w:rsidRDefault="005F6814" w:rsidP="005F6814">
            <w:pPr>
              <w:rPr>
                <w:b/>
              </w:rPr>
            </w:pPr>
          </w:p>
        </w:tc>
        <w:tc>
          <w:tcPr>
            <w:tcW w:w="4253" w:type="dxa"/>
            <w:shd w:val="clear" w:color="auto" w:fill="auto"/>
          </w:tcPr>
          <w:p w14:paraId="3CB349D4" w14:textId="31B64885" w:rsidR="005F6814" w:rsidRDefault="005F6814" w:rsidP="00F9645E">
            <w:pPr>
              <w:pStyle w:val="BulletLevel1"/>
              <w:numPr>
                <w:ilvl w:val="0"/>
                <w:numId w:val="40"/>
              </w:numPr>
              <w:spacing w:before="0"/>
              <w:ind w:hanging="357"/>
            </w:pPr>
            <w:r>
              <w:t>Perceived harassment and bullying decreased</w:t>
            </w:r>
            <w:r w:rsidR="005B4D42">
              <w:t xml:space="preserve"> </w:t>
            </w:r>
            <w:r>
              <w:t>from 1</w:t>
            </w:r>
            <w:r w:rsidR="002A4D0A">
              <w:t>1.7</w:t>
            </w:r>
            <w:r>
              <w:t>% in 2021 to 1</w:t>
            </w:r>
            <w:r w:rsidR="005C1384">
              <w:t>0</w:t>
            </w:r>
            <w:r w:rsidR="002A4D0A">
              <w:t>.4</w:t>
            </w:r>
            <w:r>
              <w:t>% in 2023.</w:t>
            </w:r>
          </w:p>
          <w:p w14:paraId="45242EA5" w14:textId="2E29625B" w:rsidR="005F6814" w:rsidRDefault="005F6814" w:rsidP="00F9645E">
            <w:pPr>
              <w:pStyle w:val="BulletLevel1"/>
              <w:numPr>
                <w:ilvl w:val="0"/>
                <w:numId w:val="40"/>
              </w:numPr>
              <w:spacing w:before="0"/>
              <w:ind w:hanging="357"/>
            </w:pPr>
            <w:r>
              <w:t>Perceived gender-based discrimination decreased from 3.6% in 2021 to 3</w:t>
            </w:r>
            <w:r w:rsidR="002A4D0A">
              <w:t>.0</w:t>
            </w:r>
            <w:r>
              <w:t>% in 2023.</w:t>
            </w:r>
          </w:p>
          <w:p w14:paraId="181E479C" w14:textId="6526FEC8" w:rsidR="005F6814" w:rsidRDefault="005F6814" w:rsidP="00F9645E">
            <w:pPr>
              <w:pStyle w:val="BulletLevel1"/>
              <w:numPr>
                <w:ilvl w:val="0"/>
                <w:numId w:val="40"/>
              </w:numPr>
              <w:spacing w:before="0"/>
              <w:ind w:hanging="357"/>
            </w:pPr>
            <w:proofErr w:type="spellStart"/>
            <w:r>
              <w:t>Respect@Work</w:t>
            </w:r>
            <w:proofErr w:type="spellEnd"/>
            <w:r>
              <w:t xml:space="preserve"> new positive duty </w:t>
            </w:r>
            <w:r w:rsidR="00401632">
              <w:t>legislated</w:t>
            </w:r>
            <w:r>
              <w:t xml:space="preserve"> to eliminate sexual harassment.</w:t>
            </w:r>
          </w:p>
        </w:tc>
      </w:tr>
      <w:tr w:rsidR="005F6814" w14:paraId="6A68F18B" w14:textId="77777777" w:rsidTr="005F6814">
        <w:trPr>
          <w:trHeight w:val="3931"/>
        </w:trPr>
        <w:tc>
          <w:tcPr>
            <w:tcW w:w="3335" w:type="dxa"/>
            <w:shd w:val="clear" w:color="auto" w:fill="auto"/>
          </w:tcPr>
          <w:p w14:paraId="18532414" w14:textId="77777777" w:rsidR="005F6814" w:rsidRDefault="005F6814" w:rsidP="005F6814">
            <w:r>
              <w:rPr>
                <w:b/>
              </w:rPr>
              <w:t>(</w:t>
            </w:r>
            <w:r w:rsidRPr="004937DD">
              <w:rPr>
                <w:b/>
              </w:rPr>
              <w:t>Minimum standard)</w:t>
            </w:r>
            <w:r>
              <w:rPr>
                <w:b/>
              </w:rPr>
              <w:t xml:space="preserve"> </w:t>
            </w:r>
            <w:r w:rsidRPr="004A4090">
              <w:t>Supporting employees experiencing family and domestic violence (FDV)</w:t>
            </w:r>
            <w:r>
              <w:t>.</w:t>
            </w:r>
          </w:p>
          <w:p w14:paraId="489BD6A0" w14:textId="77777777" w:rsidR="005F6814" w:rsidRDefault="005F6814" w:rsidP="00F9645E">
            <w:pPr>
              <w:pStyle w:val="BulletLevel1"/>
              <w:numPr>
                <w:ilvl w:val="0"/>
                <w:numId w:val="41"/>
              </w:numPr>
            </w:pPr>
            <w:r>
              <w:t>Agency FDV policy is well-communicated and sets out supports available.</w:t>
            </w:r>
          </w:p>
          <w:p w14:paraId="0BCC0669" w14:textId="77777777" w:rsidR="005F6814" w:rsidRDefault="005F6814" w:rsidP="00F9645E">
            <w:pPr>
              <w:pStyle w:val="BulletLevel1"/>
              <w:numPr>
                <w:ilvl w:val="0"/>
                <w:numId w:val="41"/>
              </w:numPr>
            </w:pPr>
            <w:r>
              <w:t>Manager training is provided and includes an emphasis on an individual-led approach to support, noting that access to a secure workplace, phone and computer can be incredibly important.</w:t>
            </w:r>
          </w:p>
          <w:p w14:paraId="1D859D48" w14:textId="134CFE7F" w:rsidR="005F6814" w:rsidRPr="00D54362" w:rsidRDefault="005F6814" w:rsidP="006E644B">
            <w:pPr>
              <w:pStyle w:val="BulletLevel1"/>
              <w:ind w:left="360" w:firstLine="0"/>
            </w:pPr>
          </w:p>
        </w:tc>
        <w:tc>
          <w:tcPr>
            <w:tcW w:w="1472" w:type="dxa"/>
            <w:shd w:val="clear" w:color="auto" w:fill="auto"/>
          </w:tcPr>
          <w:p w14:paraId="29EF8EE0" w14:textId="77777777" w:rsidR="005F6814" w:rsidRPr="00CB1F5C" w:rsidRDefault="005F6814" w:rsidP="005F6814">
            <w:pPr>
              <w:rPr>
                <w:b/>
              </w:rPr>
            </w:pPr>
            <w:r>
              <w:rPr>
                <w:b/>
              </w:rPr>
              <w:t>Progress made</w:t>
            </w:r>
            <w:r w:rsidRPr="00CB1F5C">
              <w:rPr>
                <w:b/>
              </w:rPr>
              <w:t xml:space="preserve"> </w:t>
            </w:r>
          </w:p>
        </w:tc>
        <w:tc>
          <w:tcPr>
            <w:tcW w:w="4253" w:type="dxa"/>
            <w:shd w:val="clear" w:color="auto" w:fill="auto"/>
          </w:tcPr>
          <w:p w14:paraId="6648F84C" w14:textId="06C9F98C" w:rsidR="005F6814" w:rsidRDefault="005F6814" w:rsidP="00F9645E">
            <w:pPr>
              <w:pStyle w:val="BulletLevel1"/>
              <w:numPr>
                <w:ilvl w:val="0"/>
                <w:numId w:val="41"/>
              </w:numPr>
              <w:spacing w:before="0"/>
              <w:ind w:hanging="357"/>
            </w:pPr>
            <w:r>
              <w:t>8</w:t>
            </w:r>
            <w:r w:rsidR="00422CAC">
              <w:t>4</w:t>
            </w:r>
            <w:r>
              <w:t xml:space="preserve">% of agencies had a family and gender based violence </w:t>
            </w:r>
            <w:r w:rsidR="00422CAC">
              <w:t xml:space="preserve">policy, strategy, action plan, and/or other activity in place or undertaken </w:t>
            </w:r>
            <w:r>
              <w:t>in 2024, a slight increase</w:t>
            </w:r>
            <w:r w:rsidR="00AA78AB">
              <w:t xml:space="preserve"> on the 72% of agencies in </w:t>
            </w:r>
            <w:r>
              <w:t>2021</w:t>
            </w:r>
            <w:r w:rsidR="00AA78AB">
              <w:t>.</w:t>
            </w:r>
          </w:p>
          <w:p w14:paraId="186A5C0B" w14:textId="564379D1" w:rsidR="005F6814" w:rsidRDefault="005F6814" w:rsidP="00F9645E">
            <w:pPr>
              <w:pStyle w:val="BulletLevel1"/>
              <w:numPr>
                <w:ilvl w:val="0"/>
                <w:numId w:val="41"/>
              </w:numPr>
              <w:spacing w:before="0"/>
              <w:ind w:hanging="357"/>
            </w:pPr>
            <w:r>
              <w:t>76% of agencies reviewed their policies, support or processes for the management and/or reporting of FDV in the first 2 years of the Strategy.</w:t>
            </w:r>
          </w:p>
          <w:p w14:paraId="4E9B9C51" w14:textId="77777777" w:rsidR="005F6814" w:rsidRDefault="005F6814" w:rsidP="00F9645E">
            <w:pPr>
              <w:pStyle w:val="BulletLevel1"/>
              <w:numPr>
                <w:ilvl w:val="0"/>
                <w:numId w:val="41"/>
              </w:numPr>
              <w:spacing w:before="0"/>
              <w:ind w:hanging="357"/>
            </w:pPr>
            <w:r>
              <w:t>57% of agencies offered training, information sessions or other forms of education on FDV in the first 2 years of the Strategy.</w:t>
            </w:r>
          </w:p>
          <w:p w14:paraId="37A7A8A6" w14:textId="5393B2E1" w:rsidR="00B17D9B" w:rsidRDefault="00B17D9B" w:rsidP="00F9645E">
            <w:pPr>
              <w:pStyle w:val="BulletLevel1"/>
              <w:numPr>
                <w:ilvl w:val="0"/>
                <w:numId w:val="41"/>
              </w:numPr>
              <w:spacing w:before="0"/>
              <w:ind w:hanging="357"/>
            </w:pPr>
            <w:r>
              <w:t>Of those agencies that did not have a family and gender based violence policy in place, the majority of them were extra small and small agencies.</w:t>
            </w:r>
          </w:p>
          <w:p w14:paraId="4359E312" w14:textId="46E41934" w:rsidR="00B17D9B" w:rsidRDefault="00B17D9B" w:rsidP="00B17D9B">
            <w:pPr>
              <w:pStyle w:val="BulletLevel1"/>
              <w:spacing w:before="0"/>
              <w:ind w:left="3" w:firstLine="0"/>
            </w:pPr>
          </w:p>
        </w:tc>
      </w:tr>
      <w:tr w:rsidR="005F6814" w14:paraId="086A0DFD" w14:textId="77777777" w:rsidTr="001B1A31">
        <w:trPr>
          <w:trHeight w:val="2961"/>
        </w:trPr>
        <w:tc>
          <w:tcPr>
            <w:tcW w:w="3335" w:type="dxa"/>
            <w:shd w:val="clear" w:color="auto" w:fill="auto"/>
          </w:tcPr>
          <w:p w14:paraId="570750B0" w14:textId="77777777" w:rsidR="005F6814" w:rsidRPr="00D54362" w:rsidRDefault="005F6814" w:rsidP="005F6814">
            <w:r>
              <w:rPr>
                <w:b/>
              </w:rPr>
              <w:t xml:space="preserve">2A </w:t>
            </w:r>
            <w:r>
              <w:t>Agencies will strengthen approaches to preventing and responding to bullying, sexual harassment and sexual assault in the workplace.</w:t>
            </w:r>
          </w:p>
          <w:p w14:paraId="4EAF5F0E" w14:textId="77777777" w:rsidR="005F6814" w:rsidRPr="004937DD" w:rsidRDefault="005F6814" w:rsidP="005F6814">
            <w:pPr>
              <w:rPr>
                <w:b/>
              </w:rPr>
            </w:pPr>
          </w:p>
        </w:tc>
        <w:tc>
          <w:tcPr>
            <w:tcW w:w="1472" w:type="dxa"/>
            <w:shd w:val="clear" w:color="auto" w:fill="auto"/>
          </w:tcPr>
          <w:p w14:paraId="38DE843D" w14:textId="77777777" w:rsidR="005F6814" w:rsidRPr="00CB1F5C" w:rsidRDefault="005F6814" w:rsidP="005F6814">
            <w:pPr>
              <w:rPr>
                <w:b/>
              </w:rPr>
            </w:pPr>
            <w:r>
              <w:rPr>
                <w:b/>
              </w:rPr>
              <w:t>Progress made</w:t>
            </w:r>
          </w:p>
        </w:tc>
        <w:tc>
          <w:tcPr>
            <w:tcW w:w="4253" w:type="dxa"/>
            <w:shd w:val="clear" w:color="auto" w:fill="auto"/>
          </w:tcPr>
          <w:p w14:paraId="4B83DE11" w14:textId="77777777" w:rsidR="005F6814" w:rsidRDefault="005F6814" w:rsidP="00F9645E">
            <w:pPr>
              <w:pStyle w:val="BulletLevel1"/>
              <w:numPr>
                <w:ilvl w:val="0"/>
                <w:numId w:val="41"/>
              </w:numPr>
              <w:spacing w:before="0"/>
              <w:ind w:hanging="357"/>
            </w:pPr>
            <w:r>
              <w:t>In the first 2 years of the Strategy, the majority of agencies reviewed their policies, support or processes for the management and/or reporting of:</w:t>
            </w:r>
          </w:p>
          <w:p w14:paraId="1CEB1E13" w14:textId="66E960AE" w:rsidR="005F6814" w:rsidRDefault="007526BD" w:rsidP="00F9645E">
            <w:pPr>
              <w:pStyle w:val="BulletLevel1"/>
              <w:numPr>
                <w:ilvl w:val="0"/>
                <w:numId w:val="32"/>
              </w:numPr>
              <w:spacing w:before="0"/>
              <w:ind w:hanging="357"/>
            </w:pPr>
            <w:proofErr w:type="gramStart"/>
            <w:r>
              <w:t>b</w:t>
            </w:r>
            <w:r w:rsidR="005F6814">
              <w:t>ullying</w:t>
            </w:r>
            <w:proofErr w:type="gramEnd"/>
            <w:r w:rsidR="005F6814">
              <w:t xml:space="preserve"> (75%)</w:t>
            </w:r>
          </w:p>
          <w:p w14:paraId="6D859FA9" w14:textId="2DFF9A57" w:rsidR="005F6814" w:rsidRDefault="007526BD" w:rsidP="00F9645E">
            <w:pPr>
              <w:pStyle w:val="BulletLevel1"/>
              <w:numPr>
                <w:ilvl w:val="0"/>
                <w:numId w:val="32"/>
              </w:numPr>
              <w:spacing w:before="0"/>
              <w:ind w:hanging="357"/>
            </w:pPr>
            <w:proofErr w:type="gramStart"/>
            <w:r>
              <w:t>s</w:t>
            </w:r>
            <w:r w:rsidR="00DE1D1F">
              <w:t>exual</w:t>
            </w:r>
            <w:proofErr w:type="gramEnd"/>
            <w:r w:rsidR="00DE1D1F">
              <w:t xml:space="preserve"> harassment (74%)</w:t>
            </w:r>
          </w:p>
          <w:p w14:paraId="41D0CA21" w14:textId="72CE1F30" w:rsidR="00DE1D1F" w:rsidRDefault="00DE1D1F" w:rsidP="00F9645E">
            <w:pPr>
              <w:pStyle w:val="BulletLevel1"/>
              <w:numPr>
                <w:ilvl w:val="0"/>
                <w:numId w:val="32"/>
              </w:numPr>
              <w:spacing w:before="0"/>
              <w:ind w:hanging="357"/>
            </w:pPr>
            <w:proofErr w:type="gramStart"/>
            <w:r>
              <w:t>discrimination</w:t>
            </w:r>
            <w:proofErr w:type="gramEnd"/>
            <w:r>
              <w:t xml:space="preserve"> (73%).</w:t>
            </w:r>
          </w:p>
          <w:p w14:paraId="3A4B188C" w14:textId="77777777" w:rsidR="005F6814" w:rsidRDefault="005F6814" w:rsidP="00F9645E">
            <w:pPr>
              <w:pStyle w:val="BulletLevel1"/>
              <w:numPr>
                <w:ilvl w:val="0"/>
                <w:numId w:val="41"/>
              </w:numPr>
              <w:spacing w:before="0"/>
              <w:ind w:hanging="357"/>
            </w:pPr>
            <w:r>
              <w:t>In the first 2 years of the Strategy, most agencies offered training, information sessions or other forms of education on:</w:t>
            </w:r>
          </w:p>
          <w:p w14:paraId="6DF990E4" w14:textId="69163C5B" w:rsidR="005F6814" w:rsidRDefault="007526BD" w:rsidP="00F9645E">
            <w:pPr>
              <w:pStyle w:val="BulletLevel1"/>
              <w:numPr>
                <w:ilvl w:val="0"/>
                <w:numId w:val="32"/>
              </w:numPr>
              <w:spacing w:before="0"/>
              <w:ind w:hanging="357"/>
            </w:pPr>
            <w:proofErr w:type="gramStart"/>
            <w:r>
              <w:t>b</w:t>
            </w:r>
            <w:r w:rsidR="005F6814">
              <w:t>ullying</w:t>
            </w:r>
            <w:proofErr w:type="gramEnd"/>
            <w:r w:rsidR="005F6814">
              <w:t xml:space="preserve"> (90%)</w:t>
            </w:r>
          </w:p>
          <w:p w14:paraId="1A387976" w14:textId="698C8317" w:rsidR="005F6814" w:rsidRDefault="007526BD" w:rsidP="00F9645E">
            <w:pPr>
              <w:pStyle w:val="BulletLevel1"/>
              <w:numPr>
                <w:ilvl w:val="0"/>
                <w:numId w:val="32"/>
              </w:numPr>
              <w:spacing w:before="0"/>
              <w:ind w:hanging="357"/>
            </w:pPr>
            <w:proofErr w:type="gramStart"/>
            <w:r>
              <w:t>d</w:t>
            </w:r>
            <w:r w:rsidR="005F6814">
              <w:t>iscrimination</w:t>
            </w:r>
            <w:proofErr w:type="gramEnd"/>
            <w:r w:rsidR="005F6814">
              <w:t xml:space="preserve"> (90%)</w:t>
            </w:r>
          </w:p>
          <w:p w14:paraId="03985673" w14:textId="487FCE60" w:rsidR="005F6814" w:rsidRDefault="007526BD" w:rsidP="00F9645E">
            <w:pPr>
              <w:pStyle w:val="BulletLevel1"/>
              <w:numPr>
                <w:ilvl w:val="0"/>
                <w:numId w:val="32"/>
              </w:numPr>
              <w:spacing w:before="0"/>
              <w:ind w:hanging="357"/>
            </w:pPr>
            <w:proofErr w:type="gramStart"/>
            <w:r>
              <w:t>s</w:t>
            </w:r>
            <w:r w:rsidR="005F6814">
              <w:t>exual</w:t>
            </w:r>
            <w:proofErr w:type="gramEnd"/>
            <w:r w:rsidR="005F6814">
              <w:t xml:space="preserve"> harassment (86%).</w:t>
            </w:r>
          </w:p>
          <w:p w14:paraId="06391E32" w14:textId="25E0C099" w:rsidR="005F6814" w:rsidRDefault="005F6814" w:rsidP="00F9645E">
            <w:pPr>
              <w:pStyle w:val="BulletLevel1"/>
              <w:numPr>
                <w:ilvl w:val="0"/>
                <w:numId w:val="41"/>
              </w:numPr>
              <w:spacing w:before="0"/>
              <w:ind w:hanging="357"/>
            </w:pPr>
            <w:r>
              <w:lastRenderedPageBreak/>
              <w:t>Agencies reported strengthening their approaches to educating on and responding to bullying, discrimination</w:t>
            </w:r>
            <w:r w:rsidR="001B1A31">
              <w:t>,</w:t>
            </w:r>
            <w:r>
              <w:t xml:space="preserve"> and sexual harassment by:</w:t>
            </w:r>
          </w:p>
          <w:p w14:paraId="58482247" w14:textId="63890FED" w:rsidR="005F6814" w:rsidRDefault="001B1A31" w:rsidP="00F9645E">
            <w:pPr>
              <w:pStyle w:val="BulletLevel1"/>
              <w:numPr>
                <w:ilvl w:val="0"/>
                <w:numId w:val="32"/>
              </w:numPr>
              <w:spacing w:before="0"/>
              <w:ind w:hanging="357"/>
            </w:pPr>
            <w:proofErr w:type="gramStart"/>
            <w:r>
              <w:t>p</w:t>
            </w:r>
            <w:r w:rsidR="005F6814">
              <w:t>roviding</w:t>
            </w:r>
            <w:proofErr w:type="gramEnd"/>
            <w:r w:rsidR="005F6814">
              <w:t xml:space="preserve"> education materials (i.e. dedicated intranet page or suite of resources, training sessions, coaching) (84%)</w:t>
            </w:r>
          </w:p>
          <w:p w14:paraId="6257EDE2" w14:textId="0BED3795" w:rsidR="005F6814" w:rsidRDefault="001B1A31" w:rsidP="00F9645E">
            <w:pPr>
              <w:pStyle w:val="BulletLevel1"/>
              <w:numPr>
                <w:ilvl w:val="0"/>
                <w:numId w:val="32"/>
              </w:numPr>
              <w:spacing w:before="0"/>
              <w:ind w:hanging="357"/>
            </w:pPr>
            <w:proofErr w:type="gramStart"/>
            <w:r>
              <w:t>i</w:t>
            </w:r>
            <w:r w:rsidR="005F6814">
              <w:t>mplementing</w:t>
            </w:r>
            <w:proofErr w:type="gramEnd"/>
            <w:r w:rsidR="005F6814">
              <w:t xml:space="preserve"> or reviewing workplace policies, procedures or action plans (51%)</w:t>
            </w:r>
          </w:p>
          <w:p w14:paraId="45AA80D6" w14:textId="2DA46556" w:rsidR="005F6814" w:rsidRDefault="001B1A31" w:rsidP="00F9645E">
            <w:pPr>
              <w:pStyle w:val="BulletLevel1"/>
              <w:numPr>
                <w:ilvl w:val="0"/>
                <w:numId w:val="32"/>
              </w:numPr>
              <w:spacing w:before="0"/>
              <w:ind w:hanging="357"/>
            </w:pPr>
            <w:proofErr w:type="gramStart"/>
            <w:r>
              <w:t>i</w:t>
            </w:r>
            <w:r w:rsidR="005F6814">
              <w:t>mplementin</w:t>
            </w:r>
            <w:r>
              <w:t>g</w:t>
            </w:r>
            <w:proofErr w:type="gramEnd"/>
            <w:r>
              <w:t xml:space="preserve"> or progressing frameworks such as</w:t>
            </w:r>
            <w:r w:rsidR="005B4D42">
              <w:t xml:space="preserve"> </w:t>
            </w:r>
            <w:proofErr w:type="spellStart"/>
            <w:r w:rsidR="005F6814">
              <w:t>Respect@Work</w:t>
            </w:r>
            <w:proofErr w:type="spellEnd"/>
            <w:r w:rsidR="005F6814">
              <w:t xml:space="preserve"> (22%).</w:t>
            </w:r>
          </w:p>
          <w:p w14:paraId="628E4E98" w14:textId="39246E5C" w:rsidR="005F6814" w:rsidRDefault="005F6814" w:rsidP="006E644B">
            <w:pPr>
              <w:pStyle w:val="BulletLevel1"/>
              <w:spacing w:before="0"/>
              <w:ind w:left="720" w:firstLine="0"/>
            </w:pPr>
          </w:p>
        </w:tc>
      </w:tr>
      <w:tr w:rsidR="005F6814" w14:paraId="37F6689B" w14:textId="77777777" w:rsidTr="000301D3">
        <w:trPr>
          <w:trHeight w:val="1878"/>
        </w:trPr>
        <w:tc>
          <w:tcPr>
            <w:tcW w:w="3335" w:type="dxa"/>
            <w:shd w:val="clear" w:color="auto" w:fill="auto"/>
          </w:tcPr>
          <w:p w14:paraId="67A7648C" w14:textId="77777777" w:rsidR="005F6814" w:rsidRDefault="005F6814" w:rsidP="005F6814">
            <w:r>
              <w:rPr>
                <w:b/>
              </w:rPr>
              <w:lastRenderedPageBreak/>
              <w:t xml:space="preserve">2B </w:t>
            </w:r>
            <w:r>
              <w:t>Agencies will review internal and outward facing communication for gender inclusive language and images. This will include agency intranet, internet, internal policy documents and recruitment ads.</w:t>
            </w:r>
          </w:p>
          <w:p w14:paraId="1BC92D32" w14:textId="77777777" w:rsidR="005F6814" w:rsidRPr="00D54362" w:rsidRDefault="005F6814" w:rsidP="005F6814"/>
        </w:tc>
        <w:tc>
          <w:tcPr>
            <w:tcW w:w="1472" w:type="dxa"/>
            <w:shd w:val="clear" w:color="auto" w:fill="auto"/>
          </w:tcPr>
          <w:p w14:paraId="0FD7A4F1" w14:textId="77777777" w:rsidR="005F6814" w:rsidRPr="00CB1F5C" w:rsidRDefault="005F6814" w:rsidP="005F6814">
            <w:pPr>
              <w:rPr>
                <w:b/>
              </w:rPr>
            </w:pPr>
            <w:r>
              <w:rPr>
                <w:b/>
              </w:rPr>
              <w:t>Progress made</w:t>
            </w:r>
          </w:p>
        </w:tc>
        <w:tc>
          <w:tcPr>
            <w:tcW w:w="4253" w:type="dxa"/>
            <w:shd w:val="clear" w:color="auto" w:fill="auto"/>
          </w:tcPr>
          <w:p w14:paraId="5EDF79DB" w14:textId="77777777" w:rsidR="005F6814" w:rsidRDefault="005F6814" w:rsidP="00F9645E">
            <w:pPr>
              <w:pStyle w:val="BulletLevel1"/>
              <w:numPr>
                <w:ilvl w:val="0"/>
                <w:numId w:val="41"/>
              </w:numPr>
              <w:spacing w:before="0"/>
              <w:ind w:hanging="357"/>
            </w:pPr>
            <w:r>
              <w:t>As part of implementing the Strategy, the majority of agencies reviewed the following communication methods for gender inclusive language and images:</w:t>
            </w:r>
          </w:p>
          <w:p w14:paraId="584E832C" w14:textId="75A1956B" w:rsidR="00007696" w:rsidRDefault="00E72FEC" w:rsidP="00F9645E">
            <w:pPr>
              <w:pStyle w:val="BulletLevel1"/>
              <w:numPr>
                <w:ilvl w:val="0"/>
                <w:numId w:val="32"/>
              </w:numPr>
              <w:spacing w:before="0"/>
              <w:ind w:hanging="357"/>
            </w:pPr>
            <w:proofErr w:type="gramStart"/>
            <w:r>
              <w:t>r</w:t>
            </w:r>
            <w:r w:rsidR="00007696">
              <w:t>ecruitment</w:t>
            </w:r>
            <w:proofErr w:type="gramEnd"/>
            <w:r w:rsidR="00007696">
              <w:t xml:space="preserve"> ads (77%)</w:t>
            </w:r>
          </w:p>
          <w:p w14:paraId="1C241211" w14:textId="2711917B" w:rsidR="00007696" w:rsidRDefault="00E72FEC" w:rsidP="00F9645E">
            <w:pPr>
              <w:pStyle w:val="BulletLevel1"/>
              <w:numPr>
                <w:ilvl w:val="0"/>
                <w:numId w:val="32"/>
              </w:numPr>
              <w:spacing w:before="0"/>
              <w:ind w:hanging="357"/>
            </w:pPr>
            <w:proofErr w:type="gramStart"/>
            <w:r>
              <w:t>i</w:t>
            </w:r>
            <w:r w:rsidR="00007696">
              <w:t>nternal</w:t>
            </w:r>
            <w:proofErr w:type="gramEnd"/>
            <w:r w:rsidR="00007696">
              <w:t xml:space="preserve"> policy docs (75%)</w:t>
            </w:r>
          </w:p>
          <w:p w14:paraId="3E52AB43" w14:textId="06EE7526" w:rsidR="005F6814" w:rsidRDefault="00E72FEC" w:rsidP="00F9645E">
            <w:pPr>
              <w:pStyle w:val="BulletLevel1"/>
              <w:numPr>
                <w:ilvl w:val="0"/>
                <w:numId w:val="32"/>
              </w:numPr>
              <w:spacing w:before="0"/>
              <w:ind w:hanging="357"/>
            </w:pPr>
            <w:proofErr w:type="gramStart"/>
            <w:r>
              <w:t>a</w:t>
            </w:r>
            <w:r w:rsidR="005F6814">
              <w:t>gency</w:t>
            </w:r>
            <w:proofErr w:type="gramEnd"/>
            <w:r w:rsidR="005F6814">
              <w:t xml:space="preserve"> intranet (71%)</w:t>
            </w:r>
          </w:p>
          <w:p w14:paraId="3F494B6F" w14:textId="77777777" w:rsidR="005F6814" w:rsidRDefault="00E72FEC" w:rsidP="00F9645E">
            <w:pPr>
              <w:pStyle w:val="BulletLevel1"/>
              <w:numPr>
                <w:ilvl w:val="0"/>
                <w:numId w:val="32"/>
              </w:numPr>
              <w:spacing w:before="0"/>
              <w:ind w:hanging="357"/>
            </w:pPr>
            <w:proofErr w:type="gramStart"/>
            <w:r>
              <w:t>a</w:t>
            </w:r>
            <w:r w:rsidR="005F6814">
              <w:t>gency</w:t>
            </w:r>
            <w:proofErr w:type="gramEnd"/>
            <w:r w:rsidR="005F6814">
              <w:t xml:space="preserve"> website (63%)</w:t>
            </w:r>
            <w:r>
              <w:t>.</w:t>
            </w:r>
          </w:p>
          <w:p w14:paraId="2AE540DF" w14:textId="545AED2A" w:rsidR="000301D3" w:rsidRPr="00E73FC8" w:rsidRDefault="000301D3" w:rsidP="000301D3">
            <w:pPr>
              <w:pStyle w:val="BulletLevel1"/>
              <w:spacing w:before="0"/>
              <w:ind w:left="0" w:firstLine="0"/>
            </w:pPr>
          </w:p>
        </w:tc>
      </w:tr>
      <w:tr w:rsidR="005F6814" w14:paraId="412AFB65" w14:textId="77777777" w:rsidTr="005F6814">
        <w:trPr>
          <w:trHeight w:val="2690"/>
        </w:trPr>
        <w:tc>
          <w:tcPr>
            <w:tcW w:w="3335" w:type="dxa"/>
            <w:shd w:val="clear" w:color="auto" w:fill="auto"/>
          </w:tcPr>
          <w:p w14:paraId="0317C1A1" w14:textId="77777777" w:rsidR="005F6814" w:rsidRPr="004937DD" w:rsidRDefault="005F6814" w:rsidP="005F6814">
            <w:pPr>
              <w:rPr>
                <w:b/>
              </w:rPr>
            </w:pPr>
            <w:r w:rsidRPr="00D54362">
              <w:rPr>
                <w:b/>
              </w:rPr>
              <w:t>2C</w:t>
            </w:r>
            <w:r>
              <w:t xml:space="preserve"> Agencies will provide ongoing access to superannuation resources and awareness sessions to all employees with a particular focus on annual entry level and graduate intakes (e.g. agency induction).</w:t>
            </w:r>
          </w:p>
        </w:tc>
        <w:tc>
          <w:tcPr>
            <w:tcW w:w="1472" w:type="dxa"/>
            <w:shd w:val="clear" w:color="auto" w:fill="auto"/>
          </w:tcPr>
          <w:p w14:paraId="416BDD42" w14:textId="77777777" w:rsidR="005F6814" w:rsidRPr="00CB1F5C" w:rsidRDefault="005F6814" w:rsidP="005F6814">
            <w:pPr>
              <w:rPr>
                <w:b/>
              </w:rPr>
            </w:pPr>
            <w:r>
              <w:rPr>
                <w:b/>
              </w:rPr>
              <w:t>Improvement needed</w:t>
            </w:r>
          </w:p>
        </w:tc>
        <w:tc>
          <w:tcPr>
            <w:tcW w:w="4253" w:type="dxa"/>
            <w:shd w:val="clear" w:color="auto" w:fill="auto"/>
          </w:tcPr>
          <w:p w14:paraId="6214076A" w14:textId="6A9CFC8A" w:rsidR="005F6814" w:rsidRDefault="004D1A14" w:rsidP="00F9645E">
            <w:pPr>
              <w:pStyle w:val="BulletLevel1"/>
              <w:numPr>
                <w:ilvl w:val="0"/>
                <w:numId w:val="41"/>
              </w:numPr>
              <w:spacing w:before="0"/>
              <w:ind w:hanging="357"/>
            </w:pPr>
            <w:r>
              <w:t>In the Strategy’s</w:t>
            </w:r>
            <w:r w:rsidR="005F6814">
              <w:t xml:space="preserve"> first 2 years, 51% of agencies provided employee superannuation awareness or educational sessions.</w:t>
            </w:r>
          </w:p>
          <w:p w14:paraId="3747C1A8" w14:textId="77777777" w:rsidR="005F6814" w:rsidRDefault="005F6814" w:rsidP="00F9645E">
            <w:pPr>
              <w:pStyle w:val="BulletLevel1"/>
              <w:numPr>
                <w:ilvl w:val="0"/>
                <w:numId w:val="41"/>
              </w:numPr>
              <w:spacing w:before="0"/>
              <w:ind w:hanging="357"/>
            </w:pPr>
            <w:r>
              <w:t xml:space="preserve">In addition to standard superannuation application forms, 44% of agencies offered superannuation information or resources to new recruits as part of induction. </w:t>
            </w:r>
          </w:p>
          <w:p w14:paraId="356D6791" w14:textId="4F778575" w:rsidR="005F6814" w:rsidRDefault="005F6814" w:rsidP="006E644B">
            <w:pPr>
              <w:pStyle w:val="BulletLevel1"/>
              <w:spacing w:before="0"/>
              <w:ind w:left="360" w:firstLine="0"/>
            </w:pPr>
          </w:p>
        </w:tc>
      </w:tr>
    </w:tbl>
    <w:p w14:paraId="171D9519" w14:textId="76A163DB" w:rsidR="00351505" w:rsidRDefault="00351505" w:rsidP="00351505">
      <w:pPr>
        <w:pStyle w:val="Heading2"/>
      </w:pPr>
      <w:bookmarkStart w:id="460" w:name="_Toc169708631"/>
      <w:bookmarkStart w:id="461" w:name="_Toc170119675"/>
      <w:bookmarkStart w:id="462" w:name="_Toc170138058"/>
      <w:bookmarkStart w:id="463" w:name="_Toc170140131"/>
      <w:bookmarkStart w:id="464" w:name="_Toc181715727"/>
      <w:r>
        <w:lastRenderedPageBreak/>
        <w:t xml:space="preserve">Prevalence of </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00A31056">
        <w:t>h</w:t>
      </w:r>
      <w:r w:rsidR="004A4090">
        <w:t>arassment</w:t>
      </w:r>
      <w:r w:rsidR="00637CCB">
        <w:t xml:space="preserve">, </w:t>
      </w:r>
      <w:r w:rsidR="004A4090">
        <w:t>b</w:t>
      </w:r>
      <w:r w:rsidR="00A31056">
        <w:t>ullying</w:t>
      </w:r>
      <w:bookmarkEnd w:id="455"/>
      <w:bookmarkEnd w:id="456"/>
      <w:bookmarkEnd w:id="457"/>
      <w:bookmarkEnd w:id="458"/>
      <w:bookmarkEnd w:id="459"/>
      <w:bookmarkEnd w:id="460"/>
      <w:bookmarkEnd w:id="461"/>
      <w:bookmarkEnd w:id="462"/>
      <w:bookmarkEnd w:id="463"/>
      <w:r w:rsidR="00637CCB">
        <w:t>, and discrimination</w:t>
      </w:r>
      <w:bookmarkEnd w:id="464"/>
    </w:p>
    <w:p w14:paraId="4A9BA585" w14:textId="1C2E0F33" w:rsidR="005D43B4" w:rsidRDefault="00D26FDE" w:rsidP="005D43B4">
      <w:pPr>
        <w:pStyle w:val="Heading3"/>
      </w:pPr>
      <w:bookmarkStart w:id="465" w:name="_Toc165991659"/>
      <w:bookmarkStart w:id="466" w:name="_Toc166082957"/>
      <w:bookmarkStart w:id="467" w:name="_Toc166160321"/>
      <w:bookmarkStart w:id="468" w:name="_Toc166168020"/>
      <w:bookmarkStart w:id="469" w:name="_Toc168329175"/>
      <w:bookmarkStart w:id="470" w:name="_Toc168322832"/>
      <w:bookmarkStart w:id="471" w:name="_Toc168387948"/>
      <w:bookmarkStart w:id="472" w:name="_Toc168405603"/>
      <w:bookmarkStart w:id="473" w:name="_Toc168408641"/>
      <w:bookmarkStart w:id="474" w:name="_Toc168411043"/>
      <w:bookmarkStart w:id="475" w:name="_Toc168405902"/>
      <w:bookmarkStart w:id="476" w:name="_Toc168473710"/>
      <w:bookmarkStart w:id="477" w:name="_Toc168471608"/>
      <w:bookmarkStart w:id="478" w:name="_Toc168484668"/>
      <w:bookmarkStart w:id="479" w:name="_Toc168495137"/>
      <w:bookmarkStart w:id="480" w:name="_Toc168495586"/>
      <w:bookmarkStart w:id="481" w:name="_Toc169103254"/>
      <w:bookmarkStart w:id="482" w:name="_Toc169104728"/>
      <w:bookmarkStart w:id="483" w:name="_Toc169278444"/>
      <w:bookmarkStart w:id="484" w:name="_Toc169536883"/>
      <w:bookmarkStart w:id="485" w:name="_Toc169708632"/>
      <w:bookmarkStart w:id="486" w:name="_Toc170119676"/>
      <w:bookmarkStart w:id="487" w:name="_Toc170138059"/>
      <w:bookmarkStart w:id="488" w:name="_Toc170140132"/>
      <w:r>
        <w:t>H</w:t>
      </w:r>
      <w:r w:rsidR="005D43B4">
        <w:t>arassment</w:t>
      </w:r>
      <w:r>
        <w:t xml:space="preserve"> and bullying</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F73EC8D" w14:textId="0551E849" w:rsidR="00CC653A" w:rsidRDefault="00DF695D" w:rsidP="00351505">
      <w:r>
        <w:t xml:space="preserve">The </w:t>
      </w:r>
      <w:r w:rsidR="00FB7A28">
        <w:t>APS</w:t>
      </w:r>
      <w:r>
        <w:t xml:space="preserve"> Employee Census measures employee perceptions of harassment and bullying.</w:t>
      </w:r>
      <w:r w:rsidR="00C763EC">
        <w:rPr>
          <w:rStyle w:val="FootnoteReference"/>
        </w:rPr>
        <w:footnoteReference w:id="7"/>
      </w:r>
      <w:r w:rsidR="00C763EC">
        <w:t xml:space="preserve"> </w:t>
      </w:r>
      <w:r>
        <w:t>The</w:t>
      </w:r>
      <w:r w:rsidR="00447820">
        <w:t xml:space="preserve"> </w:t>
      </w:r>
      <w:r w:rsidR="0064613E">
        <w:t>2023</w:t>
      </w:r>
      <w:r w:rsidR="00447820">
        <w:t xml:space="preserve"> </w:t>
      </w:r>
      <w:r w:rsidR="000E23CD">
        <w:t xml:space="preserve">APS </w:t>
      </w:r>
      <w:r w:rsidR="00350C87">
        <w:t xml:space="preserve">Employee </w:t>
      </w:r>
      <w:r w:rsidR="00447820">
        <w:t>Census</w:t>
      </w:r>
      <w:r w:rsidR="002D27F1">
        <w:t xml:space="preserve"> </w:t>
      </w:r>
      <w:r w:rsidR="00364FE8">
        <w:t xml:space="preserve">results indicated </w:t>
      </w:r>
      <w:r w:rsidR="002D27F1">
        <w:t>that</w:t>
      </w:r>
      <w:r w:rsidR="003E6732">
        <w:t xml:space="preserve"> </w:t>
      </w:r>
      <w:r w:rsidR="00912673">
        <w:t>10</w:t>
      </w:r>
      <w:r w:rsidR="002A4D0A">
        <w:t>.4</w:t>
      </w:r>
      <w:r w:rsidR="00912673">
        <w:t>% of responding</w:t>
      </w:r>
      <w:r w:rsidR="000E23CD">
        <w:t xml:space="preserve"> </w:t>
      </w:r>
      <w:r w:rsidR="00447820">
        <w:t xml:space="preserve">employees perceived </w:t>
      </w:r>
      <w:r w:rsidR="0064613E">
        <w:t>harassment</w:t>
      </w:r>
      <w:r w:rsidR="00D26FDE">
        <w:t xml:space="preserve"> and</w:t>
      </w:r>
      <w:r w:rsidR="00447820">
        <w:t xml:space="preserve"> bull</w:t>
      </w:r>
      <w:r w:rsidR="0064613E">
        <w:t>ying</w:t>
      </w:r>
      <w:r w:rsidR="00447820">
        <w:t xml:space="preserve"> </w:t>
      </w:r>
      <w:r w:rsidR="00EF6105">
        <w:t xml:space="preserve">in the </w:t>
      </w:r>
      <w:r w:rsidR="00C23F86">
        <w:t xml:space="preserve">12 months </w:t>
      </w:r>
      <w:r w:rsidR="0012305E">
        <w:t>preceding</w:t>
      </w:r>
      <w:r w:rsidR="00D2175B">
        <w:t xml:space="preserve"> </w:t>
      </w:r>
      <w:r w:rsidR="000E23CD">
        <w:t>the survey</w:t>
      </w:r>
      <w:r w:rsidR="0064613E">
        <w:t xml:space="preserve"> </w:t>
      </w:r>
      <w:r w:rsidR="000E23CD">
        <w:t>period</w:t>
      </w:r>
      <w:r w:rsidR="00447820">
        <w:t>.</w:t>
      </w:r>
      <w:r w:rsidR="004938CF">
        <w:t xml:space="preserve"> There are gender differences behind this figure, with</w:t>
      </w:r>
      <w:r w:rsidR="00D90FC6">
        <w:t xml:space="preserve"> </w:t>
      </w:r>
      <w:r w:rsidR="001F5A3E">
        <w:t>20.5</w:t>
      </w:r>
      <w:r w:rsidR="00CC653A">
        <w:t xml:space="preserve">% of those who choose to use a different term </w:t>
      </w:r>
      <w:r w:rsidR="00EC3AC7">
        <w:t>reporting</w:t>
      </w:r>
      <w:r w:rsidR="00CC653A">
        <w:t xml:space="preserve"> harassment and bullying, </w:t>
      </w:r>
      <w:r w:rsidR="0069574C">
        <w:t>followed by</w:t>
      </w:r>
      <w:r w:rsidR="001F5A3E">
        <w:t xml:space="preserve"> 19.8</w:t>
      </w:r>
      <w:r w:rsidR="00CC653A">
        <w:t>% of non-binary employees, 11</w:t>
      </w:r>
      <w:r w:rsidR="001F5A3E">
        <w:t>.1</w:t>
      </w:r>
      <w:r w:rsidR="00CC653A">
        <w:t xml:space="preserve">% of </w:t>
      </w:r>
      <w:r w:rsidR="000B466A">
        <w:t xml:space="preserve">female </w:t>
      </w:r>
      <w:r w:rsidR="0069574C">
        <w:t>employees</w:t>
      </w:r>
      <w:r w:rsidR="00CC653A">
        <w:t>, and 8</w:t>
      </w:r>
      <w:r w:rsidR="001F5A3E">
        <w:t>.1</w:t>
      </w:r>
      <w:r w:rsidR="00CC653A">
        <w:t xml:space="preserve">% of </w:t>
      </w:r>
      <w:r w:rsidR="000B466A">
        <w:t xml:space="preserve">male </w:t>
      </w:r>
      <w:r w:rsidR="0069574C">
        <w:t>employees</w:t>
      </w:r>
      <w:r w:rsidR="00CC653A">
        <w:t>.</w:t>
      </w:r>
    </w:p>
    <w:p w14:paraId="5473A458" w14:textId="0372760E" w:rsidR="007D36CD" w:rsidRDefault="00C1615A" w:rsidP="00351505">
      <w:r>
        <w:t xml:space="preserve">Over </w:t>
      </w:r>
      <w:r w:rsidR="00447820">
        <w:t xml:space="preserve">time </w:t>
      </w:r>
      <w:r w:rsidR="00CC653A">
        <w:t xml:space="preserve">the APS has </w:t>
      </w:r>
      <w:r w:rsidR="00447820">
        <w:t xml:space="preserve">seen </w:t>
      </w:r>
      <w:r w:rsidR="006E2CEB">
        <w:t>a</w:t>
      </w:r>
      <w:r w:rsidR="00032023">
        <w:t>n overall</w:t>
      </w:r>
      <w:r w:rsidR="006E2CEB">
        <w:t xml:space="preserve"> decline in the</w:t>
      </w:r>
      <w:r w:rsidR="00311B97">
        <w:t xml:space="preserve"> reported</w:t>
      </w:r>
      <w:r w:rsidR="006E2CEB">
        <w:t xml:space="preserve"> </w:t>
      </w:r>
      <w:r w:rsidR="00447820">
        <w:t>rates</w:t>
      </w:r>
      <w:r w:rsidR="00036BD5">
        <w:t xml:space="preserve"> </w:t>
      </w:r>
      <w:r w:rsidR="0018419D">
        <w:t xml:space="preserve">of </w:t>
      </w:r>
      <w:r w:rsidR="000F6350">
        <w:t xml:space="preserve">perceived </w:t>
      </w:r>
      <w:r w:rsidR="0018419D">
        <w:t>harassment and bullying</w:t>
      </w:r>
      <w:r w:rsidR="008E736F">
        <w:t xml:space="preserve"> (Figure 4)</w:t>
      </w:r>
      <w:r w:rsidR="00447820">
        <w:t>. Since the start of the Strategy</w:t>
      </w:r>
      <w:r w:rsidR="000C52BA">
        <w:t>,</w:t>
      </w:r>
      <w:r w:rsidR="00447820">
        <w:t xml:space="preserve"> reported rates have reduced</w:t>
      </w:r>
      <w:r w:rsidR="00CF4D2C">
        <w:t xml:space="preserve"> </w:t>
      </w:r>
      <w:r w:rsidR="00D90FC6">
        <w:t xml:space="preserve">from </w:t>
      </w:r>
      <w:r w:rsidR="002A4D0A">
        <w:t>11.7</w:t>
      </w:r>
      <w:r w:rsidR="00D90FC6">
        <w:t xml:space="preserve">% </w:t>
      </w:r>
      <w:r w:rsidR="001C1FD1">
        <w:t xml:space="preserve">in 2021 </w:t>
      </w:r>
      <w:r w:rsidR="00D90FC6">
        <w:t>to 10</w:t>
      </w:r>
      <w:r w:rsidR="002A4D0A">
        <w:t>.4</w:t>
      </w:r>
      <w:r w:rsidR="00D90FC6">
        <w:t>%</w:t>
      </w:r>
      <w:r w:rsidR="001C1FD1">
        <w:t xml:space="preserve"> in 2023</w:t>
      </w:r>
      <w:r w:rsidR="006E2CEB">
        <w:t>. This</w:t>
      </w:r>
      <w:r w:rsidR="00036BD5">
        <w:t xml:space="preserve"> has </w:t>
      </w:r>
      <w:r w:rsidR="004711B5">
        <w:t>followed a consistent trend over</w:t>
      </w:r>
      <w:r w:rsidR="00E503A9">
        <w:t xml:space="preserve"> recent years</w:t>
      </w:r>
      <w:r w:rsidR="004B25CB">
        <w:t>.</w:t>
      </w:r>
    </w:p>
    <w:p w14:paraId="484714AB" w14:textId="27F9DBE0" w:rsidR="001F5A3E" w:rsidRPr="009D307C" w:rsidRDefault="00331701" w:rsidP="009D307C">
      <w:pPr>
        <w:pStyle w:val="Heading5"/>
      </w:pPr>
      <w:bookmarkStart w:id="489" w:name="_Ref164168300"/>
      <w:bookmarkStart w:id="490" w:name="_Ref166072286"/>
      <w:bookmarkStart w:id="491" w:name="_Toc168405553"/>
      <w:bookmarkStart w:id="492" w:name="_Toc168408702"/>
      <w:bookmarkStart w:id="493" w:name="_Toc168410992"/>
      <w:bookmarkStart w:id="494" w:name="_Toc168405852"/>
      <w:bookmarkStart w:id="495" w:name="_Toc168473660"/>
      <w:bookmarkStart w:id="496" w:name="_Toc168471558"/>
      <w:bookmarkStart w:id="497" w:name="_Toc168484617"/>
      <w:bookmarkStart w:id="498" w:name="_Toc168495086"/>
      <w:bookmarkStart w:id="499" w:name="_Toc168495535"/>
      <w:bookmarkStart w:id="500" w:name="_Toc168586004"/>
      <w:bookmarkStart w:id="501" w:name="_Toc168586439"/>
      <w:bookmarkStart w:id="502" w:name="_Toc169278397"/>
      <w:bookmarkStart w:id="503" w:name="_Toc169536512"/>
      <w:bookmarkStart w:id="504" w:name="_Toc169708593"/>
      <w:bookmarkStart w:id="505" w:name="_Toc170138021"/>
      <w:bookmarkStart w:id="506" w:name="_Toc170140094"/>
      <w:bookmarkStart w:id="507" w:name="_Toc173857126"/>
      <w:r>
        <w:t xml:space="preserve">Figure </w:t>
      </w:r>
      <w:r>
        <w:fldChar w:fldCharType="begin"/>
      </w:r>
      <w:r>
        <w:instrText>SEQ Figure \* ARABIC</w:instrText>
      </w:r>
      <w:r>
        <w:fldChar w:fldCharType="separate"/>
      </w:r>
      <w:r w:rsidR="004166B9">
        <w:rPr>
          <w:noProof/>
        </w:rPr>
        <w:t>4</w:t>
      </w:r>
      <w:r>
        <w:fldChar w:fldCharType="end"/>
      </w:r>
      <w:bookmarkEnd w:id="489"/>
      <w:r>
        <w:t xml:space="preserve"> Perceived harassment</w:t>
      </w:r>
      <w:r w:rsidR="00D26FDE">
        <w:t xml:space="preserve"> and bullying</w:t>
      </w:r>
      <w:bookmarkEnd w:id="490"/>
      <w:r w:rsidR="005D0460">
        <w:rPr>
          <w:rStyle w:val="FootnoteReference"/>
        </w:rPr>
        <w:footnoteReference w:id="8"/>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21010DA5" w14:textId="046106F1" w:rsidR="001F5A3E" w:rsidRDefault="001F5A3E" w:rsidP="00F86AD1">
      <w:pPr>
        <w:rPr>
          <w:sz w:val="16"/>
          <w:szCs w:val="16"/>
        </w:rPr>
      </w:pPr>
      <w:r>
        <w:rPr>
          <w:noProof/>
          <w:lang w:eastAsia="en-AU"/>
        </w:rPr>
        <w:drawing>
          <wp:inline distT="0" distB="0" distL="0" distR="0" wp14:anchorId="19540493" wp14:editId="41D89B4D">
            <wp:extent cx="5759450" cy="2736000"/>
            <wp:effectExtent l="0" t="0" r="0" b="7620"/>
            <wp:docPr id="8" name="Chart 8" descr="Graph of the figures discussed in the previous paragraph" title="Figure 4 Perceived harassment and bully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233E8F" w14:textId="0AE8D35B" w:rsidR="00F86AD1" w:rsidRPr="007374EA" w:rsidRDefault="00F86AD1" w:rsidP="00F86AD1">
      <w:pPr>
        <w:rPr>
          <w:sz w:val="16"/>
          <w:szCs w:val="16"/>
        </w:rPr>
      </w:pPr>
      <w:r w:rsidRPr="007374EA">
        <w:rPr>
          <w:sz w:val="16"/>
          <w:szCs w:val="16"/>
        </w:rPr>
        <w:t>Source: APS Employee Census</w:t>
      </w:r>
      <w:r>
        <w:rPr>
          <w:sz w:val="16"/>
          <w:szCs w:val="16"/>
        </w:rPr>
        <w:t xml:space="preserve"> 2021</w:t>
      </w:r>
      <w:r w:rsidR="00C14DCF">
        <w:rPr>
          <w:sz w:val="16"/>
          <w:szCs w:val="16"/>
        </w:rPr>
        <w:t xml:space="preserve"> and APS Employee Census</w:t>
      </w:r>
      <w:r w:rsidR="00AA4818">
        <w:rPr>
          <w:sz w:val="16"/>
          <w:szCs w:val="16"/>
        </w:rPr>
        <w:t xml:space="preserve"> </w:t>
      </w:r>
      <w:r>
        <w:rPr>
          <w:sz w:val="16"/>
          <w:szCs w:val="16"/>
        </w:rPr>
        <w:t>2023.</w:t>
      </w:r>
    </w:p>
    <w:p w14:paraId="42FC6734" w14:textId="6E6B4333" w:rsidR="00C1615A" w:rsidRDefault="00C1615A" w:rsidP="00C1615A">
      <w:r>
        <w:t>The m</w:t>
      </w:r>
      <w:r w:rsidR="00DE321C">
        <w:t>ost common types of</w:t>
      </w:r>
      <w:r>
        <w:t xml:space="preserve"> harassment</w:t>
      </w:r>
      <w:r w:rsidR="00DE321C">
        <w:t xml:space="preserve"> and bullying</w:t>
      </w:r>
      <w:r w:rsidR="0037468A">
        <w:t xml:space="preserve"> experienced</w:t>
      </w:r>
      <w:r w:rsidR="00252682">
        <w:t xml:space="preserve"> are shown </w:t>
      </w:r>
      <w:r w:rsidR="00364FE8">
        <w:t xml:space="preserve">in </w:t>
      </w:r>
      <w:r w:rsidR="0019396A">
        <w:fldChar w:fldCharType="begin"/>
      </w:r>
      <w:r w:rsidR="0019396A">
        <w:instrText xml:space="preserve"> REF _Ref164168366 \h </w:instrText>
      </w:r>
      <w:r w:rsidR="0019396A">
        <w:fldChar w:fldCharType="separate"/>
      </w:r>
      <w:r w:rsidR="004166B9">
        <w:t xml:space="preserve">Figure </w:t>
      </w:r>
      <w:r w:rsidR="004166B9">
        <w:rPr>
          <w:noProof/>
        </w:rPr>
        <w:t>5</w:t>
      </w:r>
      <w:r w:rsidR="0019396A">
        <w:fldChar w:fldCharType="end"/>
      </w:r>
      <w:r w:rsidR="006E2CEB">
        <w:t>. The most frequent forms were</w:t>
      </w:r>
      <w:r w:rsidR="00252682">
        <w:t xml:space="preserve"> </w:t>
      </w:r>
      <w:r>
        <w:t>verbal abuse (41</w:t>
      </w:r>
      <w:r w:rsidR="0037468A">
        <w:t>%) and</w:t>
      </w:r>
      <w:r>
        <w:t xml:space="preserve"> interference with work tasks (41%). The </w:t>
      </w:r>
      <w:r w:rsidR="006E2CEB">
        <w:t xml:space="preserve">perpetrator </w:t>
      </w:r>
      <w:r>
        <w:t xml:space="preserve">was </w:t>
      </w:r>
      <w:r>
        <w:lastRenderedPageBreak/>
        <w:t>often a co-worker (38%), someone more senior that was not a supervisor (30%), a previous supervisor (</w:t>
      </w:r>
      <w:r w:rsidR="00E02F17">
        <w:t>27%)</w:t>
      </w:r>
      <w:r w:rsidR="00F274BD">
        <w:t>,</w:t>
      </w:r>
      <w:r w:rsidR="00E02F17">
        <w:t xml:space="preserve"> or a current supervisor (18</w:t>
      </w:r>
      <w:r>
        <w:t>%).</w:t>
      </w:r>
    </w:p>
    <w:p w14:paraId="43D52DE1" w14:textId="4428EC60" w:rsidR="00252682" w:rsidRDefault="00252682" w:rsidP="005750BC">
      <w:pPr>
        <w:pStyle w:val="Heading5"/>
      </w:pPr>
      <w:bookmarkStart w:id="508" w:name="_Ref164168366"/>
      <w:bookmarkStart w:id="509" w:name="_Ref166072456"/>
      <w:bookmarkStart w:id="510" w:name="_Toc168405554"/>
      <w:bookmarkStart w:id="511" w:name="_Toc168408703"/>
      <w:bookmarkStart w:id="512" w:name="_Toc168410993"/>
      <w:bookmarkStart w:id="513" w:name="_Toc168405853"/>
      <w:bookmarkStart w:id="514" w:name="_Toc168473661"/>
      <w:bookmarkStart w:id="515" w:name="_Toc168471559"/>
      <w:bookmarkStart w:id="516" w:name="_Toc168484618"/>
      <w:bookmarkStart w:id="517" w:name="_Toc168495087"/>
      <w:bookmarkStart w:id="518" w:name="_Toc168495536"/>
      <w:bookmarkStart w:id="519" w:name="_Toc168586005"/>
      <w:bookmarkStart w:id="520" w:name="_Toc168586440"/>
      <w:bookmarkStart w:id="521" w:name="_Toc169278398"/>
      <w:bookmarkStart w:id="522" w:name="_Toc169536513"/>
      <w:bookmarkStart w:id="523" w:name="_Toc169708594"/>
      <w:bookmarkStart w:id="524" w:name="_Toc170138022"/>
      <w:bookmarkStart w:id="525" w:name="_Toc170140095"/>
      <w:bookmarkStart w:id="526" w:name="_Toc173857127"/>
      <w:r>
        <w:t xml:space="preserve">Figure </w:t>
      </w:r>
      <w:r>
        <w:fldChar w:fldCharType="begin"/>
      </w:r>
      <w:r>
        <w:instrText>SEQ Figure \* ARABIC</w:instrText>
      </w:r>
      <w:r>
        <w:fldChar w:fldCharType="separate"/>
      </w:r>
      <w:r w:rsidR="004166B9">
        <w:rPr>
          <w:noProof/>
        </w:rPr>
        <w:t>5</w:t>
      </w:r>
      <w:r>
        <w:fldChar w:fldCharType="end"/>
      </w:r>
      <w:bookmarkEnd w:id="508"/>
      <w:r>
        <w:t xml:space="preserve"> Types of haras</w:t>
      </w:r>
      <w:r w:rsidR="0037468A">
        <w:t>sment and bullying experienc</w:t>
      </w:r>
      <w:r>
        <w:t>e</w:t>
      </w:r>
      <w:bookmarkEnd w:id="509"/>
      <w:r>
        <w:t>d</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282EE021" w14:textId="3E47E293" w:rsidR="00AC1C98" w:rsidRDefault="00DD43E1" w:rsidP="00C1615A">
      <w:r>
        <w:rPr>
          <w:noProof/>
          <w:lang w:eastAsia="en-AU"/>
        </w:rPr>
        <w:drawing>
          <wp:inline distT="0" distB="0" distL="0" distR="0" wp14:anchorId="66CBEDC1" wp14:editId="0D4CBA3D">
            <wp:extent cx="5760000" cy="3420000"/>
            <wp:effectExtent l="0" t="0" r="0" b="0"/>
            <wp:docPr id="170548689" name="Chart 170548689" descr="Graph displaying the APS Census results for the percentage of type of harrassement." title="Figure 5 Types of harassment and bullying experienc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A2A91B" w14:textId="63EC75A2" w:rsidR="0037468A" w:rsidRPr="00124C3A" w:rsidRDefault="0037468A" w:rsidP="0037468A">
      <w:pPr>
        <w:rPr>
          <w:sz w:val="16"/>
          <w:szCs w:val="16"/>
        </w:rPr>
      </w:pPr>
      <w:r w:rsidRPr="007374EA">
        <w:rPr>
          <w:sz w:val="16"/>
          <w:szCs w:val="16"/>
        </w:rPr>
        <w:t>Source: APS Employee Census</w:t>
      </w:r>
      <w:r w:rsidR="00B3501D" w:rsidRPr="007374EA">
        <w:rPr>
          <w:sz w:val="16"/>
          <w:szCs w:val="16"/>
        </w:rPr>
        <w:t xml:space="preserve"> 2023</w:t>
      </w:r>
      <w:r w:rsidR="00876F89">
        <w:rPr>
          <w:sz w:val="16"/>
          <w:szCs w:val="16"/>
        </w:rPr>
        <w:t>.</w:t>
      </w:r>
      <w:r w:rsidR="00876F89">
        <w:rPr>
          <w:sz w:val="16"/>
          <w:szCs w:val="16"/>
        </w:rPr>
        <w:br/>
      </w:r>
      <w:r w:rsidR="00B3501D" w:rsidRPr="00124C3A">
        <w:rPr>
          <w:sz w:val="16"/>
          <w:szCs w:val="16"/>
        </w:rPr>
        <w:t>Note: respondents were able to select multiple types of harassment or bullying</w:t>
      </w:r>
      <w:r w:rsidR="00E71162">
        <w:rPr>
          <w:sz w:val="16"/>
          <w:szCs w:val="16"/>
        </w:rPr>
        <w:t>.</w:t>
      </w:r>
      <w:r w:rsidR="00B3501D" w:rsidRPr="00124C3A">
        <w:rPr>
          <w:sz w:val="16"/>
          <w:szCs w:val="16"/>
        </w:rPr>
        <w:t xml:space="preserve"> </w:t>
      </w:r>
    </w:p>
    <w:p w14:paraId="6BC10EE9" w14:textId="45823794" w:rsidR="00412C3F" w:rsidRDefault="00E64CAF" w:rsidP="0037468A">
      <w:r>
        <w:t>Sex</w:t>
      </w:r>
      <w:r w:rsidR="00B62029">
        <w:t xml:space="preserve">ual harassment was </w:t>
      </w:r>
      <w:r w:rsidR="00216C98">
        <w:t>perceived</w:t>
      </w:r>
      <w:r w:rsidR="00B62029">
        <w:t xml:space="preserve"> by </w:t>
      </w:r>
      <w:r w:rsidR="00404172">
        <w:t>3.6</w:t>
      </w:r>
      <w:r>
        <w:t>% of respondents</w:t>
      </w:r>
      <w:r w:rsidR="00523C7B">
        <w:t xml:space="preserve"> (453 employees) </w:t>
      </w:r>
      <w:r>
        <w:t xml:space="preserve">who </w:t>
      </w:r>
      <w:r w:rsidR="00216C98">
        <w:t xml:space="preserve">perceived </w:t>
      </w:r>
      <w:r w:rsidR="007425BF">
        <w:t xml:space="preserve">harassment and </w:t>
      </w:r>
      <w:r>
        <w:t>bullying</w:t>
      </w:r>
      <w:r w:rsidR="00761BF3">
        <w:t xml:space="preserve"> in the 2023 APS Employee Census</w:t>
      </w:r>
      <w:r w:rsidR="002E6AAF">
        <w:t>.</w:t>
      </w:r>
      <w:r w:rsidR="002E6AAF" w:rsidRPr="002E6AAF">
        <w:t xml:space="preserve"> </w:t>
      </w:r>
      <w:r w:rsidR="002E6AAF">
        <w:t xml:space="preserve">Overall, this equated to 0.4% of all </w:t>
      </w:r>
      <w:r w:rsidR="006E29B9">
        <w:t>Census</w:t>
      </w:r>
      <w:r w:rsidR="00364FE8">
        <w:t xml:space="preserve"> respondents to this question</w:t>
      </w:r>
      <w:r w:rsidR="00027355">
        <w:t>.</w:t>
      </w:r>
      <w:r w:rsidR="00364FE8">
        <w:t xml:space="preserve"> While t</w:t>
      </w:r>
      <w:r w:rsidR="00412C3F">
        <w:t>he Australian Human Rights Commission (AHRC) found</w:t>
      </w:r>
      <w:r w:rsidR="00364FE8">
        <w:t xml:space="preserve"> that</w:t>
      </w:r>
      <w:r w:rsidR="00412C3F">
        <w:t xml:space="preserve"> 23% of women and 16% of men had experienced sexual harassment at work in the last 12 months in 2018, zero tolerance in the APS and efforts to prevent this from occurring need to continue.</w:t>
      </w:r>
      <w:r w:rsidR="007F3B7C">
        <w:rPr>
          <w:rStyle w:val="FootnoteReference"/>
        </w:rPr>
        <w:footnoteReference w:id="9"/>
      </w:r>
      <w:r w:rsidR="00412C3F">
        <w:t xml:space="preserve"> </w:t>
      </w:r>
    </w:p>
    <w:p w14:paraId="01D36F86" w14:textId="6C4507EF" w:rsidR="00C864B7" w:rsidRPr="00DD567F" w:rsidRDefault="0059276C" w:rsidP="00E41DC0">
      <w:pPr>
        <w:pStyle w:val="Heading3"/>
      </w:pPr>
      <w:bookmarkStart w:id="527" w:name="_Toc165991660"/>
      <w:bookmarkStart w:id="528" w:name="_Toc166082958"/>
      <w:bookmarkStart w:id="529" w:name="_Toc166160322"/>
      <w:bookmarkStart w:id="530" w:name="_Toc166168021"/>
      <w:bookmarkStart w:id="531" w:name="_Toc168329176"/>
      <w:bookmarkStart w:id="532" w:name="_Toc168322833"/>
      <w:bookmarkStart w:id="533" w:name="_Toc168387949"/>
      <w:bookmarkStart w:id="534" w:name="_Toc168405604"/>
      <w:bookmarkStart w:id="535" w:name="_Toc168408642"/>
      <w:bookmarkStart w:id="536" w:name="_Toc168411044"/>
      <w:bookmarkStart w:id="537" w:name="_Toc168405903"/>
      <w:bookmarkStart w:id="538" w:name="_Toc168473711"/>
      <w:bookmarkStart w:id="539" w:name="_Toc168471609"/>
      <w:bookmarkStart w:id="540" w:name="_Toc168484669"/>
      <w:bookmarkStart w:id="541" w:name="_Toc168495138"/>
      <w:bookmarkStart w:id="542" w:name="_Toc168495587"/>
      <w:bookmarkStart w:id="543" w:name="_Toc169103255"/>
      <w:bookmarkStart w:id="544" w:name="_Toc169104729"/>
      <w:bookmarkStart w:id="545" w:name="_Toc169278445"/>
      <w:bookmarkStart w:id="546" w:name="_Toc169536884"/>
      <w:bookmarkStart w:id="547" w:name="_Toc169708633"/>
      <w:bookmarkStart w:id="548" w:name="_Toc170119677"/>
      <w:bookmarkStart w:id="549" w:name="_Toc170138060"/>
      <w:bookmarkStart w:id="550" w:name="_Toc170140133"/>
      <w:r>
        <w:t>D</w:t>
      </w:r>
      <w:r w:rsidR="005D43B4" w:rsidRPr="00DD567F">
        <w:t>iscrimination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E469F75" w14:textId="39CE24AA" w:rsidR="00F21273" w:rsidRDefault="00810120" w:rsidP="00B4661D">
      <w:r>
        <w:t>There were</w:t>
      </w:r>
      <w:r w:rsidR="0084168B">
        <w:t xml:space="preserve"> </w:t>
      </w:r>
      <w:r w:rsidR="002700C9">
        <w:t>10</w:t>
      </w:r>
      <w:r w:rsidR="00404172">
        <w:t>.4</w:t>
      </w:r>
      <w:r w:rsidR="002700C9">
        <w:t xml:space="preserve">% of </w:t>
      </w:r>
      <w:r w:rsidR="005B12FB">
        <w:t>respondents</w:t>
      </w:r>
      <w:r w:rsidR="005D43B4">
        <w:t xml:space="preserve"> </w:t>
      </w:r>
      <w:r>
        <w:t>who perceived</w:t>
      </w:r>
      <w:r w:rsidR="005D43B4">
        <w:t xml:space="preserve"> discrimination in the 12 months preceding the APS Employee Census.</w:t>
      </w:r>
      <w:r w:rsidR="000B51BC">
        <w:rPr>
          <w:rStyle w:val="FootnoteReference"/>
        </w:rPr>
        <w:footnoteReference w:id="10"/>
      </w:r>
      <w:r w:rsidR="00F21273">
        <w:t xml:space="preserve"> </w:t>
      </w:r>
      <w:r w:rsidR="00C93583">
        <w:t>This had fallen by 1.1</w:t>
      </w:r>
      <w:r w:rsidR="005348B3">
        <w:t xml:space="preserve"> percentage points</w:t>
      </w:r>
      <w:r w:rsidR="00C93583">
        <w:t xml:space="preserve"> since the start of the Strategy in 2021.</w:t>
      </w:r>
      <w:r w:rsidR="00DF284E">
        <w:t xml:space="preserve"> </w:t>
      </w:r>
      <w:r w:rsidR="00F97906">
        <w:t>28</w:t>
      </w:r>
      <w:r w:rsidR="00404172">
        <w:t>.0</w:t>
      </w:r>
      <w:r w:rsidR="00F97906">
        <w:t xml:space="preserve">% of employees who use a different gender term had perceived discrimination, followed by </w:t>
      </w:r>
      <w:r w:rsidR="00B4661D">
        <w:t>27</w:t>
      </w:r>
      <w:r w:rsidR="00404172">
        <w:t>.0</w:t>
      </w:r>
      <w:r w:rsidR="00B4661D">
        <w:t>% of non-binary</w:t>
      </w:r>
      <w:r w:rsidR="00F97906">
        <w:t xml:space="preserve"> employees, </w:t>
      </w:r>
      <w:r w:rsidR="00404172">
        <w:t>10.9</w:t>
      </w:r>
      <w:r w:rsidR="00F97906">
        <w:t>% of women, and 8</w:t>
      </w:r>
      <w:r w:rsidR="00404172">
        <w:t>.5</w:t>
      </w:r>
      <w:r w:rsidR="00F97906">
        <w:t>% of men.</w:t>
      </w:r>
    </w:p>
    <w:p w14:paraId="3FBCD31E" w14:textId="1673CA0B" w:rsidR="0081653A" w:rsidRDefault="002E6AAF" w:rsidP="005D43B4">
      <w:r>
        <w:lastRenderedPageBreak/>
        <w:t>The most common basis of discrimination</w:t>
      </w:r>
      <w:r w:rsidR="006D6071">
        <w:t xml:space="preserve"> was gender</w:t>
      </w:r>
      <w:r w:rsidR="00810120">
        <w:t xml:space="preserve"> (29</w:t>
      </w:r>
      <w:r w:rsidR="00371ED0">
        <w:t>%</w:t>
      </w:r>
      <w:r w:rsidR="00810120">
        <w:t>), followed by carers (20%), with more women (25%) than men (11%) reporting this form</w:t>
      </w:r>
      <w:r w:rsidR="00810120" w:rsidDel="00946F19">
        <w:t xml:space="preserve"> </w:t>
      </w:r>
      <w:r w:rsidR="00946F19">
        <w:t>(</w:t>
      </w:r>
      <w:r w:rsidR="00946F19">
        <w:fldChar w:fldCharType="begin"/>
      </w:r>
      <w:r w:rsidR="00946F19">
        <w:instrText xml:space="preserve"> REF _Ref168385956 \h </w:instrText>
      </w:r>
      <w:r w:rsidR="00946F19">
        <w:fldChar w:fldCharType="separate"/>
      </w:r>
      <w:r w:rsidR="004166B9">
        <w:t xml:space="preserve">Figure </w:t>
      </w:r>
      <w:r w:rsidR="004166B9">
        <w:rPr>
          <w:noProof/>
        </w:rPr>
        <w:t>6</w:t>
      </w:r>
      <w:r w:rsidR="00946F19">
        <w:fldChar w:fldCharType="end"/>
      </w:r>
      <w:r w:rsidR="00946F19">
        <w:t>)</w:t>
      </w:r>
      <w:r w:rsidR="006D6071">
        <w:t xml:space="preserve">. </w:t>
      </w:r>
    </w:p>
    <w:p w14:paraId="636346E4" w14:textId="54CAAF27" w:rsidR="00402558" w:rsidRDefault="00895027" w:rsidP="005D43B4">
      <w:r>
        <w:t>Overall, this equated to 3</w:t>
      </w:r>
      <w:r w:rsidR="00404172">
        <w:t>.0</w:t>
      </w:r>
      <w:r>
        <w:t xml:space="preserve">% of all APS employees experiencing discrimination </w:t>
      </w:r>
      <w:r w:rsidR="00F340AC">
        <w:t xml:space="preserve">on the basis on gender </w:t>
      </w:r>
      <w:r>
        <w:t>and 2</w:t>
      </w:r>
      <w:r w:rsidR="00404172">
        <w:t>.0</w:t>
      </w:r>
      <w:r>
        <w:t>% on the basis of caring, both of which had decreased by 0</w:t>
      </w:r>
      <w:r w:rsidR="00D3261E">
        <w:t>.6 percentage points</w:t>
      </w:r>
      <w:r>
        <w:t xml:space="preserve"> since the start of the Strategy.</w:t>
      </w:r>
      <w:r w:rsidR="0081653A">
        <w:t xml:space="preserve"> </w:t>
      </w:r>
    </w:p>
    <w:p w14:paraId="6C494730" w14:textId="1F2F486D" w:rsidR="00F21273" w:rsidRDefault="00093E5B" w:rsidP="007D4022">
      <w:pPr>
        <w:pStyle w:val="Heading5"/>
      </w:pPr>
      <w:bookmarkStart w:id="551" w:name="_Ref168385956"/>
      <w:bookmarkStart w:id="552" w:name="_Ref166072640"/>
      <w:bookmarkStart w:id="553" w:name="_Toc168405555"/>
      <w:bookmarkStart w:id="554" w:name="_Toc168408704"/>
      <w:bookmarkStart w:id="555" w:name="_Toc168410994"/>
      <w:bookmarkStart w:id="556" w:name="_Toc168405854"/>
      <w:bookmarkStart w:id="557" w:name="_Toc168473662"/>
      <w:bookmarkStart w:id="558" w:name="_Toc168471560"/>
      <w:bookmarkStart w:id="559" w:name="_Toc168484619"/>
      <w:bookmarkStart w:id="560" w:name="_Toc168495088"/>
      <w:bookmarkStart w:id="561" w:name="_Toc168495537"/>
      <w:bookmarkStart w:id="562" w:name="_Toc168586006"/>
      <w:bookmarkStart w:id="563" w:name="_Toc168586441"/>
      <w:bookmarkStart w:id="564" w:name="_Toc169278399"/>
      <w:bookmarkStart w:id="565" w:name="_Toc169536514"/>
      <w:bookmarkStart w:id="566" w:name="_Toc169708595"/>
      <w:bookmarkStart w:id="567" w:name="_Toc170138023"/>
      <w:bookmarkStart w:id="568" w:name="_Toc170140096"/>
      <w:bookmarkStart w:id="569" w:name="_Toc173857128"/>
      <w:r>
        <w:t xml:space="preserve">Figure </w:t>
      </w:r>
      <w:r>
        <w:fldChar w:fldCharType="begin"/>
      </w:r>
      <w:r>
        <w:instrText>SEQ Figure \* ARABIC</w:instrText>
      </w:r>
      <w:r>
        <w:fldChar w:fldCharType="separate"/>
      </w:r>
      <w:r w:rsidR="004166B9">
        <w:rPr>
          <w:noProof/>
        </w:rPr>
        <w:t>6</w:t>
      </w:r>
      <w:r>
        <w:fldChar w:fldCharType="end"/>
      </w:r>
      <w:bookmarkEnd w:id="551"/>
      <w:r>
        <w:t xml:space="preserve"> Basis of experienced discriminatio</w:t>
      </w:r>
      <w:bookmarkEnd w:id="552"/>
      <w:r>
        <w:t>n</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7994846" w14:textId="3D6DF70E" w:rsidR="007D4022" w:rsidRDefault="007D4022" w:rsidP="005D43B4">
      <w:r>
        <w:rPr>
          <w:noProof/>
          <w:lang w:eastAsia="en-AU"/>
        </w:rPr>
        <w:drawing>
          <wp:inline distT="0" distB="0" distL="0" distR="0" wp14:anchorId="3EAB992C" wp14:editId="1163FEA1">
            <wp:extent cx="5760000" cy="2700000"/>
            <wp:effectExtent l="0" t="0" r="0" b="5715"/>
            <wp:docPr id="4" name="Chart 4" descr="Graph of APS Census data showing the basis for discrimination " title="Figure 6 Basis of experienced discrimin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788865" w14:textId="2B2795D3" w:rsidR="0098484D" w:rsidRDefault="00A31C8A" w:rsidP="005D43B4">
      <w:pPr>
        <w:rPr>
          <w:sz w:val="16"/>
          <w:szCs w:val="16"/>
        </w:rPr>
      </w:pPr>
      <w:r w:rsidRPr="008862E6">
        <w:rPr>
          <w:sz w:val="16"/>
          <w:szCs w:val="16"/>
        </w:rPr>
        <w:t>Source: APS Employee Census 2023</w:t>
      </w:r>
      <w:r w:rsidR="00876F89">
        <w:rPr>
          <w:sz w:val="16"/>
          <w:szCs w:val="16"/>
        </w:rPr>
        <w:t>.</w:t>
      </w:r>
    </w:p>
    <w:p w14:paraId="0DEA73F0" w14:textId="52FD7D42" w:rsidR="00EA0551" w:rsidRDefault="00EA0551" w:rsidP="005D43B4">
      <w:r>
        <w:t>Non-binary employees and employees who use a different gender term reported higher discrimination based on gender, 49</w:t>
      </w:r>
      <w:r w:rsidR="00C308A4">
        <w:t>.3</w:t>
      </w:r>
      <w:r>
        <w:t xml:space="preserve">% and </w:t>
      </w:r>
      <w:r w:rsidR="00C308A4">
        <w:t>41.8</w:t>
      </w:r>
      <w:r>
        <w:t>% respectively.</w:t>
      </w:r>
    </w:p>
    <w:p w14:paraId="7AAC16E2" w14:textId="401F1102" w:rsidR="00B629C6" w:rsidRDefault="5EDF2910" w:rsidP="00B629C6">
      <w:pPr>
        <w:pStyle w:val="Heading2"/>
      </w:pPr>
      <w:bookmarkStart w:id="570" w:name="_Toc169103256"/>
      <w:bookmarkStart w:id="571" w:name="_Toc169104730"/>
      <w:bookmarkStart w:id="572" w:name="_Toc169278446"/>
      <w:bookmarkStart w:id="573" w:name="_Toc169536885"/>
      <w:bookmarkStart w:id="574" w:name="_Toc169708634"/>
      <w:bookmarkStart w:id="575" w:name="_Toc170119678"/>
      <w:bookmarkStart w:id="576" w:name="_Toc170138061"/>
      <w:bookmarkStart w:id="577" w:name="_Toc170140134"/>
      <w:bookmarkStart w:id="578" w:name="_Toc181715728"/>
      <w:bookmarkStart w:id="579" w:name="_Toc165991661"/>
      <w:bookmarkStart w:id="580" w:name="_Toc166082959"/>
      <w:bookmarkStart w:id="581" w:name="_Toc166160323"/>
      <w:bookmarkStart w:id="582" w:name="_Toc166168022"/>
      <w:bookmarkStart w:id="583" w:name="_Toc168329177"/>
      <w:bookmarkStart w:id="584" w:name="_Toc168322834"/>
      <w:bookmarkStart w:id="585" w:name="_Toc168387950"/>
      <w:bookmarkStart w:id="586" w:name="_Toc168405605"/>
      <w:bookmarkStart w:id="587" w:name="_Toc168408643"/>
      <w:bookmarkStart w:id="588" w:name="_Toc168411045"/>
      <w:bookmarkStart w:id="589" w:name="_Toc168405904"/>
      <w:bookmarkStart w:id="590" w:name="_Toc168473712"/>
      <w:bookmarkStart w:id="591" w:name="_Toc168471610"/>
      <w:bookmarkStart w:id="592" w:name="_Toc168484670"/>
      <w:bookmarkStart w:id="593" w:name="_Toc168495139"/>
      <w:bookmarkStart w:id="594" w:name="_Toc168495588"/>
      <w:r>
        <w:t xml:space="preserve">Reporting of </w:t>
      </w:r>
      <w:r w:rsidR="1042C73E">
        <w:t>bullying</w:t>
      </w:r>
      <w:r w:rsidR="14B64C43">
        <w:t xml:space="preserve"> and</w:t>
      </w:r>
      <w:r w:rsidR="1042C73E">
        <w:t xml:space="preserve"> harassment</w:t>
      </w:r>
      <w:bookmarkEnd w:id="570"/>
      <w:bookmarkEnd w:id="571"/>
      <w:bookmarkEnd w:id="572"/>
      <w:bookmarkEnd w:id="573"/>
      <w:bookmarkEnd w:id="574"/>
      <w:bookmarkEnd w:id="575"/>
      <w:bookmarkEnd w:id="576"/>
      <w:bookmarkEnd w:id="577"/>
      <w:bookmarkEnd w:id="578"/>
      <w:r w:rsidR="1042C73E">
        <w:t xml:space="preserve">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D550904" w14:textId="294DEEFE" w:rsidR="00133B08" w:rsidRDefault="1FA74A49" w:rsidP="00351505">
      <w:r>
        <w:t>The</w:t>
      </w:r>
      <w:r w:rsidR="5666F954">
        <w:t xml:space="preserve"> </w:t>
      </w:r>
      <w:r w:rsidR="37437F20">
        <w:t xml:space="preserve">2023 </w:t>
      </w:r>
      <w:r w:rsidR="5666F954">
        <w:t>APS Employee Census indicate</w:t>
      </w:r>
      <w:r w:rsidR="37437F20">
        <w:t>d</w:t>
      </w:r>
      <w:r w:rsidR="5666F954">
        <w:t xml:space="preserve"> that</w:t>
      </w:r>
      <w:r w:rsidR="590AE981">
        <w:t xml:space="preserve"> 57% </w:t>
      </w:r>
      <w:r w:rsidR="11876EC0">
        <w:t>of</w:t>
      </w:r>
      <w:r w:rsidR="70B521B3">
        <w:t xml:space="preserve"> those who</w:t>
      </w:r>
      <w:r w:rsidR="11876EC0">
        <w:t xml:space="preserve"> perceived harassment and bullying </w:t>
      </w:r>
      <w:r w:rsidR="70B521B3">
        <w:t>did not report these incidents</w:t>
      </w:r>
      <w:r w:rsidR="11876EC0">
        <w:t xml:space="preserve">. This </w:t>
      </w:r>
      <w:r w:rsidR="2662A773">
        <w:t>had decreased</w:t>
      </w:r>
      <w:r w:rsidR="11876EC0">
        <w:t xml:space="preserve"> </w:t>
      </w:r>
      <w:r w:rsidR="590AE981">
        <w:t xml:space="preserve">by 1.8 percentage points </w:t>
      </w:r>
      <w:r w:rsidR="11876EC0">
        <w:t xml:space="preserve">since the start of the Strategy. </w:t>
      </w:r>
      <w:r w:rsidR="00C316B5">
        <w:t xml:space="preserve">Some </w:t>
      </w:r>
      <w:r w:rsidR="006436C2">
        <w:t xml:space="preserve">of the </w:t>
      </w:r>
      <w:r w:rsidR="00F42D89">
        <w:t>common</w:t>
      </w:r>
      <w:r w:rsidR="00C316B5">
        <w:t xml:space="preserve"> reasons </w:t>
      </w:r>
      <w:r w:rsidR="006436C2">
        <w:t xml:space="preserve">behind </w:t>
      </w:r>
      <w:r w:rsidR="00D26FDE">
        <w:t xml:space="preserve">not reporting </w:t>
      </w:r>
      <w:r w:rsidR="00C316B5">
        <w:t>harassment</w:t>
      </w:r>
      <w:r w:rsidR="00D26FDE">
        <w:t xml:space="preserve"> and bullying</w:t>
      </w:r>
      <w:r w:rsidR="005A5215">
        <w:t xml:space="preserve"> presented in </w:t>
      </w:r>
      <w:r w:rsidR="00C316B5">
        <w:fldChar w:fldCharType="begin"/>
      </w:r>
      <w:r w:rsidR="00C316B5">
        <w:instrText xml:space="preserve"> REF _Ref168495305 \h </w:instrText>
      </w:r>
      <w:r w:rsidR="00C316B5">
        <w:fldChar w:fldCharType="separate"/>
      </w:r>
      <w:r w:rsidR="002B65E2">
        <w:t xml:space="preserve">Figure </w:t>
      </w:r>
      <w:r w:rsidR="002B65E2" w:rsidRPr="1436366D">
        <w:rPr>
          <w:noProof/>
        </w:rPr>
        <w:t>7</w:t>
      </w:r>
      <w:r w:rsidR="00C316B5">
        <w:fldChar w:fldCharType="end"/>
      </w:r>
      <w:r w:rsidR="00FF51E0">
        <w:t xml:space="preserve"> </w:t>
      </w:r>
      <w:r w:rsidR="006436C2">
        <w:t xml:space="preserve">indicate areas </w:t>
      </w:r>
      <w:r w:rsidR="00DF6F10">
        <w:t>for</w:t>
      </w:r>
      <w:r w:rsidR="006436C2">
        <w:t xml:space="preserve"> improvement.</w:t>
      </w:r>
      <w:r w:rsidR="00946F19">
        <w:t xml:space="preserve"> Almost half (</w:t>
      </w:r>
      <w:r w:rsidR="004F3AB7">
        <w:t>47%</w:t>
      </w:r>
      <w:r w:rsidR="00946F19">
        <w:t>)</w:t>
      </w:r>
      <w:r w:rsidR="004F3AB7">
        <w:t xml:space="preserve"> of respondents</w:t>
      </w:r>
      <w:r w:rsidR="00F42D89">
        <w:t xml:space="preserve"> did not thi</w:t>
      </w:r>
      <w:r w:rsidR="00586BFA">
        <w:t xml:space="preserve">nk </w:t>
      </w:r>
      <w:r w:rsidR="003F332E">
        <w:t xml:space="preserve">any </w:t>
      </w:r>
      <w:r w:rsidR="00586BFA">
        <w:t xml:space="preserve">action would be taken and </w:t>
      </w:r>
      <w:r w:rsidR="004F3AB7">
        <w:t xml:space="preserve">31% of respondents agreed that </w:t>
      </w:r>
      <w:r w:rsidR="00F42D89">
        <w:t>managers accepted the behaviour</w:t>
      </w:r>
      <w:r w:rsidR="004F3AB7">
        <w:t>.</w:t>
      </w:r>
      <w:r w:rsidR="00F42D89">
        <w:t xml:space="preserve"> </w:t>
      </w:r>
      <w:r w:rsidR="00BB5E7B">
        <w:t>Other</w:t>
      </w:r>
      <w:r w:rsidR="004F3AB7">
        <w:t xml:space="preserve"> sentiments </w:t>
      </w:r>
      <w:r w:rsidR="00355A22">
        <w:t xml:space="preserve">suggest a need for better protections as 46% feared possible retaliation or reprisals and 37% </w:t>
      </w:r>
      <w:r w:rsidR="003F332E">
        <w:t xml:space="preserve">believed </w:t>
      </w:r>
      <w:r w:rsidR="00355A22">
        <w:t>that it could affect their career.</w:t>
      </w:r>
    </w:p>
    <w:p w14:paraId="380F0EA4" w14:textId="5A423F5B" w:rsidR="00CB1821" w:rsidRPr="00984F40" w:rsidRDefault="00CB1821" w:rsidP="005750BC">
      <w:pPr>
        <w:pStyle w:val="Heading5"/>
      </w:pPr>
      <w:bookmarkStart w:id="595" w:name="_Ref166073812"/>
      <w:bookmarkStart w:id="596" w:name="_Toc168405556"/>
      <w:bookmarkStart w:id="597" w:name="_Toc168408705"/>
      <w:bookmarkStart w:id="598" w:name="_Toc168410995"/>
      <w:bookmarkStart w:id="599" w:name="_Toc168405855"/>
      <w:bookmarkStart w:id="600" w:name="_Toc168473663"/>
      <w:bookmarkStart w:id="601" w:name="_Toc168471561"/>
      <w:bookmarkStart w:id="602" w:name="_Toc168484620"/>
      <w:bookmarkStart w:id="603" w:name="_Toc168495089"/>
      <w:bookmarkStart w:id="604" w:name="_Ref168495305"/>
      <w:bookmarkStart w:id="605" w:name="_Toc168495538"/>
      <w:bookmarkStart w:id="606" w:name="_Toc168586007"/>
      <w:bookmarkStart w:id="607" w:name="_Toc168586442"/>
      <w:bookmarkStart w:id="608" w:name="_Toc169278400"/>
      <w:bookmarkStart w:id="609" w:name="_Toc169536515"/>
      <w:bookmarkStart w:id="610" w:name="_Toc169708596"/>
      <w:bookmarkStart w:id="611" w:name="_Toc170138024"/>
      <w:bookmarkStart w:id="612" w:name="_Toc170140097"/>
      <w:bookmarkStart w:id="613" w:name="_Toc173857129"/>
      <w:r w:rsidRPr="00984F40">
        <w:lastRenderedPageBreak/>
        <w:t xml:space="preserve">Figure </w:t>
      </w:r>
      <w:r>
        <w:fldChar w:fldCharType="begin"/>
      </w:r>
      <w:r>
        <w:instrText>SEQ Figure \* ARABIC</w:instrText>
      </w:r>
      <w:r>
        <w:fldChar w:fldCharType="separate"/>
      </w:r>
      <w:r w:rsidR="004166B9">
        <w:rPr>
          <w:noProof/>
        </w:rPr>
        <w:t>7</w:t>
      </w:r>
      <w:r>
        <w:fldChar w:fldCharType="end"/>
      </w:r>
      <w:r w:rsidRPr="00984F40">
        <w:t xml:space="preserve"> Reaso</w:t>
      </w:r>
      <w:r w:rsidR="00D26FDE" w:rsidRPr="00984F40">
        <w:t>ns for not reporting</w:t>
      </w:r>
      <w:r w:rsidRPr="00984F40">
        <w:t xml:space="preserve"> harassment</w:t>
      </w:r>
      <w:r w:rsidR="00D26FDE" w:rsidRPr="00984F40">
        <w:t xml:space="preserve"> and bullyin</w:t>
      </w:r>
      <w:bookmarkEnd w:id="595"/>
      <w:r w:rsidR="00D26FDE" w:rsidRPr="00984F40">
        <w:t>g</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283D5AF" w14:textId="11B4AB82" w:rsidR="00A31C8A" w:rsidRPr="008717FA" w:rsidRDefault="009B52E1" w:rsidP="00351505">
      <w:pPr>
        <w:rPr>
          <w:sz w:val="16"/>
          <w:szCs w:val="16"/>
        </w:rPr>
      </w:pPr>
      <w:r>
        <w:rPr>
          <w:noProof/>
          <w:lang w:eastAsia="en-AU"/>
        </w:rPr>
        <w:drawing>
          <wp:inline distT="0" distB="0" distL="0" distR="0" wp14:anchorId="35F71244" wp14:editId="35DBD67A">
            <wp:extent cx="5759450" cy="3188043"/>
            <wp:effectExtent l="0" t="0" r="0" b="0"/>
            <wp:docPr id="19" name="Chart 19" descr="Graphing showing reasons for not reporting harassment" title="Figure 7 Reasons for not reporting harassment and bully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40C2DC36" w:rsidRPr="008862E6">
        <w:rPr>
          <w:sz w:val="16"/>
          <w:szCs w:val="16"/>
        </w:rPr>
        <w:t>Source: AP</w:t>
      </w:r>
      <w:r w:rsidR="40C2DC36" w:rsidRPr="008717FA">
        <w:rPr>
          <w:sz w:val="16"/>
          <w:szCs w:val="16"/>
        </w:rPr>
        <w:t>S Employee Census 2023</w:t>
      </w:r>
      <w:r w:rsidR="6C4D66A2">
        <w:rPr>
          <w:sz w:val="16"/>
          <w:szCs w:val="16"/>
        </w:rPr>
        <w:t>.</w:t>
      </w:r>
    </w:p>
    <w:p w14:paraId="3E11C475" w14:textId="7EDAA0A1" w:rsidR="00351505" w:rsidRDefault="00351505" w:rsidP="00351505">
      <w:pPr>
        <w:pStyle w:val="Heading2"/>
      </w:pPr>
      <w:bookmarkStart w:id="614" w:name="_Toc169103257"/>
      <w:bookmarkStart w:id="615" w:name="_Toc169104731"/>
      <w:bookmarkStart w:id="616" w:name="_Toc169278447"/>
      <w:bookmarkStart w:id="617" w:name="_Toc169536886"/>
      <w:bookmarkStart w:id="618" w:name="_Toc169708635"/>
      <w:bookmarkStart w:id="619" w:name="_Toc170119679"/>
      <w:bookmarkStart w:id="620" w:name="_Toc170138062"/>
      <w:bookmarkStart w:id="621" w:name="_Toc170140135"/>
      <w:bookmarkStart w:id="622" w:name="_Toc181715729"/>
      <w:bookmarkStart w:id="623" w:name="_Toc165991662"/>
      <w:bookmarkStart w:id="624" w:name="_Toc166082960"/>
      <w:bookmarkStart w:id="625" w:name="_Toc166160324"/>
      <w:bookmarkStart w:id="626" w:name="_Toc166168023"/>
      <w:bookmarkStart w:id="627" w:name="_Toc168329178"/>
      <w:bookmarkStart w:id="628" w:name="_Toc168322835"/>
      <w:bookmarkStart w:id="629" w:name="_Toc168387951"/>
      <w:bookmarkStart w:id="630" w:name="_Toc168405606"/>
      <w:bookmarkStart w:id="631" w:name="_Toc168408644"/>
      <w:bookmarkStart w:id="632" w:name="_Toc168411046"/>
      <w:bookmarkStart w:id="633" w:name="_Toc168405905"/>
      <w:bookmarkStart w:id="634" w:name="_Toc168473713"/>
      <w:bookmarkStart w:id="635" w:name="_Toc168471611"/>
      <w:bookmarkStart w:id="636" w:name="_Toc168484671"/>
      <w:bookmarkStart w:id="637" w:name="_Toc168495140"/>
      <w:bookmarkStart w:id="638" w:name="_Toc168495589"/>
      <w:r>
        <w:t xml:space="preserve">Prevention of </w:t>
      </w:r>
      <w:r w:rsidR="00A31056">
        <w:t>bullying, harassment and discrimination</w:t>
      </w:r>
      <w:bookmarkEnd w:id="614"/>
      <w:bookmarkEnd w:id="615"/>
      <w:bookmarkEnd w:id="616"/>
      <w:bookmarkEnd w:id="617"/>
      <w:bookmarkEnd w:id="618"/>
      <w:bookmarkEnd w:id="619"/>
      <w:bookmarkEnd w:id="620"/>
      <w:bookmarkEnd w:id="621"/>
      <w:bookmarkEnd w:id="622"/>
      <w:r w:rsidR="00A31056">
        <w:t xml:space="preserve"> </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B218DE4" w14:textId="6927799B" w:rsidR="00326A7F" w:rsidRDefault="00326A7F" w:rsidP="00326A7F">
      <w:pPr>
        <w:pStyle w:val="Heading3"/>
      </w:pPr>
      <w:bookmarkStart w:id="639" w:name="_Toc166082961"/>
      <w:bookmarkStart w:id="640" w:name="_Toc166160325"/>
      <w:bookmarkStart w:id="641" w:name="_Toc166168024"/>
      <w:bookmarkStart w:id="642" w:name="_Toc168329180"/>
      <w:bookmarkStart w:id="643" w:name="_Toc168322837"/>
      <w:bookmarkStart w:id="644" w:name="_Toc168387953"/>
      <w:bookmarkStart w:id="645" w:name="_Toc168405608"/>
      <w:bookmarkStart w:id="646" w:name="_Toc168408646"/>
      <w:bookmarkStart w:id="647" w:name="_Toc168411048"/>
      <w:bookmarkStart w:id="648" w:name="_Toc168405907"/>
      <w:bookmarkStart w:id="649" w:name="_Toc168473715"/>
      <w:bookmarkStart w:id="650" w:name="_Toc168471613"/>
      <w:bookmarkStart w:id="651" w:name="_Toc168484673"/>
      <w:bookmarkStart w:id="652" w:name="_Toc168495141"/>
      <w:bookmarkStart w:id="653" w:name="_Toc168495590"/>
      <w:bookmarkStart w:id="654" w:name="_Toc169103258"/>
      <w:bookmarkStart w:id="655" w:name="_Toc169104732"/>
      <w:bookmarkStart w:id="656" w:name="_Toc169278448"/>
      <w:bookmarkStart w:id="657" w:name="_Toc169536887"/>
      <w:bookmarkStart w:id="658" w:name="_Toc169708636"/>
      <w:bookmarkStart w:id="659" w:name="_Toc170119680"/>
      <w:bookmarkStart w:id="660" w:name="_Toc170138063"/>
      <w:bookmarkStart w:id="661" w:name="_Toc170140136"/>
      <w:r>
        <w:t>Agency policies</w:t>
      </w:r>
      <w:r w:rsidR="00256AF8">
        <w:t>, strategies and action plans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0E26DD96" w14:textId="4576ADA2" w:rsidR="00326A7F" w:rsidRDefault="00326A7F" w:rsidP="00326A7F">
      <w:r>
        <w:t xml:space="preserve">The GES Survey found that </w:t>
      </w:r>
      <w:r w:rsidR="00840E67">
        <w:t xml:space="preserve">almost all </w:t>
      </w:r>
      <w:r w:rsidR="00822E35">
        <w:t>responding</w:t>
      </w:r>
      <w:r w:rsidR="00F03415">
        <w:t xml:space="preserve"> </w:t>
      </w:r>
      <w:r w:rsidR="00BD3C5D">
        <w:t>agencies</w:t>
      </w:r>
      <w:r w:rsidR="00F06963">
        <w:t xml:space="preserve"> had a policy relating to discrimination, bullying, </w:t>
      </w:r>
      <w:r w:rsidR="006C66E6">
        <w:t xml:space="preserve">and </w:t>
      </w:r>
      <w:r w:rsidR="00F06963">
        <w:t>sexual harassment in place</w:t>
      </w:r>
      <w:r w:rsidR="006C66E6">
        <w:t xml:space="preserve"> </w:t>
      </w:r>
      <w:r w:rsidR="008F4437" w:rsidRPr="008F4437">
        <w:t>(</w:t>
      </w:r>
      <w:r w:rsidR="0019396A">
        <w:fldChar w:fldCharType="begin"/>
      </w:r>
      <w:r w:rsidR="0019396A">
        <w:instrText xml:space="preserve"> REF _Ref168386008 \h </w:instrText>
      </w:r>
      <w:r w:rsidR="0019396A">
        <w:fldChar w:fldCharType="separate"/>
      </w:r>
      <w:r w:rsidR="004166B9" w:rsidRPr="008F4437">
        <w:t xml:space="preserve">Figure </w:t>
      </w:r>
      <w:r w:rsidR="004166B9">
        <w:rPr>
          <w:noProof/>
        </w:rPr>
        <w:t>8</w:t>
      </w:r>
      <w:r w:rsidR="0019396A">
        <w:fldChar w:fldCharType="end"/>
      </w:r>
      <w:r w:rsidR="00810120">
        <w:t>). L</w:t>
      </w:r>
      <w:r w:rsidR="00F06963">
        <w:t xml:space="preserve">ess than 20% of agencies had a strategy </w:t>
      </w:r>
      <w:r w:rsidR="0069496E">
        <w:t>or</w:t>
      </w:r>
      <w:r w:rsidR="00F06963">
        <w:t xml:space="preserve"> action plan rel</w:t>
      </w:r>
      <w:r w:rsidR="006C66E6">
        <w:t xml:space="preserve">ating </w:t>
      </w:r>
      <w:r w:rsidR="00810120">
        <w:t xml:space="preserve">specifically </w:t>
      </w:r>
      <w:r w:rsidR="006C66E6">
        <w:t>to these topics.</w:t>
      </w:r>
    </w:p>
    <w:p w14:paraId="5FFF4DE6" w14:textId="3B0EA8B6" w:rsidR="00CE1003" w:rsidRPr="00CE1003" w:rsidRDefault="006C66E6" w:rsidP="00CE1003">
      <w:pPr>
        <w:pStyle w:val="Heading5"/>
      </w:pPr>
      <w:bookmarkStart w:id="662" w:name="_Ref168386008"/>
      <w:bookmarkStart w:id="663" w:name="_Ref166073925"/>
      <w:bookmarkStart w:id="664" w:name="_Toc168405557"/>
      <w:bookmarkStart w:id="665" w:name="_Toc168408706"/>
      <w:bookmarkStart w:id="666" w:name="_Toc168410996"/>
      <w:bookmarkStart w:id="667" w:name="_Toc168405856"/>
      <w:bookmarkStart w:id="668" w:name="_Toc168473664"/>
      <w:bookmarkStart w:id="669" w:name="_Toc168471562"/>
      <w:bookmarkStart w:id="670" w:name="_Toc168484621"/>
      <w:bookmarkStart w:id="671" w:name="_Toc168495090"/>
      <w:bookmarkStart w:id="672" w:name="_Toc168495539"/>
      <w:bookmarkStart w:id="673" w:name="_Toc168586008"/>
      <w:bookmarkStart w:id="674" w:name="_Toc168586443"/>
      <w:bookmarkStart w:id="675" w:name="_Toc169278401"/>
      <w:bookmarkStart w:id="676" w:name="_Toc169536516"/>
      <w:bookmarkStart w:id="677" w:name="_Toc169708597"/>
      <w:bookmarkStart w:id="678" w:name="_Toc170138025"/>
      <w:bookmarkStart w:id="679" w:name="_Toc170140098"/>
      <w:bookmarkStart w:id="680" w:name="_Toc173857130"/>
      <w:r w:rsidRPr="008F4437">
        <w:t xml:space="preserve">Figure </w:t>
      </w:r>
      <w:r>
        <w:fldChar w:fldCharType="begin"/>
      </w:r>
      <w:r>
        <w:instrText>SEQ Figure \* ARABIC</w:instrText>
      </w:r>
      <w:r>
        <w:fldChar w:fldCharType="separate"/>
      </w:r>
      <w:r w:rsidR="004166B9">
        <w:rPr>
          <w:noProof/>
        </w:rPr>
        <w:t>8</w:t>
      </w:r>
      <w:r>
        <w:fldChar w:fldCharType="end"/>
      </w:r>
      <w:bookmarkEnd w:id="662"/>
      <w:r w:rsidR="005270E6" w:rsidRPr="008F4437">
        <w:t xml:space="preserve"> Agencies that had a policy, strategy, action plan or other </w:t>
      </w:r>
      <w:r w:rsidR="006F7A25" w:rsidRPr="008F4437">
        <w:t>in plac</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CE1003">
        <w:t>e</w:t>
      </w:r>
      <w:bookmarkEnd w:id="680"/>
    </w:p>
    <w:p w14:paraId="22C46DA6" w14:textId="64897402" w:rsidR="00620A75" w:rsidRPr="000A0CD4" w:rsidRDefault="00CE1003" w:rsidP="00CE1003">
      <w:pPr>
        <w:rPr>
          <w:sz w:val="16"/>
          <w:szCs w:val="16"/>
        </w:rPr>
      </w:pPr>
      <w:r>
        <w:rPr>
          <w:noProof/>
          <w:lang w:eastAsia="en-AU"/>
        </w:rPr>
        <w:drawing>
          <wp:inline distT="0" distB="0" distL="0" distR="0" wp14:anchorId="5729ADC3" wp14:editId="51B5F5B0">
            <wp:extent cx="5759450" cy="2434281"/>
            <wp:effectExtent l="0" t="0" r="0" b="4445"/>
            <wp:docPr id="15" name="Chart 15" descr="The GES Survey found that almost all responding agencies had a policy relating to discrimination, bullying, and sexual harassment in place (Figure 8). Less than 20% of agencies had a strategy or action plan relating specifically to these topics." title="Figure 8 Agencies that had a policy, strategy, action plan or other in 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76E10C1" w:rsidRPr="000A0CD4">
        <w:rPr>
          <w:sz w:val="16"/>
          <w:szCs w:val="16"/>
        </w:rPr>
        <w:t>Source:</w:t>
      </w:r>
      <w:r w:rsidR="6C4D66A2">
        <w:rPr>
          <w:sz w:val="16"/>
          <w:szCs w:val="16"/>
        </w:rPr>
        <w:t xml:space="preserve"> 2024 </w:t>
      </w:r>
      <w:r w:rsidR="54A6D41D">
        <w:rPr>
          <w:sz w:val="16"/>
          <w:szCs w:val="16"/>
        </w:rPr>
        <w:t>GES</w:t>
      </w:r>
      <w:r w:rsidR="076E10C1" w:rsidRPr="000A0CD4">
        <w:rPr>
          <w:sz w:val="16"/>
          <w:szCs w:val="16"/>
        </w:rPr>
        <w:t xml:space="preserve"> Survey</w:t>
      </w:r>
      <w:r w:rsidR="6C4D66A2">
        <w:rPr>
          <w:sz w:val="16"/>
          <w:szCs w:val="16"/>
        </w:rPr>
        <w:t>.</w:t>
      </w:r>
    </w:p>
    <w:p w14:paraId="040F7207" w14:textId="2B769686" w:rsidR="00326A7F" w:rsidRDefault="00326A7F" w:rsidP="00326A7F">
      <w:pPr>
        <w:rPr>
          <w:highlight w:val="yellow"/>
        </w:rPr>
      </w:pPr>
      <w:r>
        <w:lastRenderedPageBreak/>
        <w:t xml:space="preserve">The GES </w:t>
      </w:r>
      <w:r w:rsidR="00593AB7">
        <w:t>Survey</w:t>
      </w:r>
      <w:r w:rsidR="005270E6">
        <w:t xml:space="preserve"> also</w:t>
      </w:r>
      <w:r>
        <w:t xml:space="preserve"> collected information regarding agency review of </w:t>
      </w:r>
      <w:r w:rsidRPr="00243193">
        <w:t>policies</w:t>
      </w:r>
      <w:r>
        <w:t>,</w:t>
      </w:r>
      <w:r w:rsidRPr="00243193">
        <w:t xml:space="preserve"> support or processes for the prevention, management and/or reporting of </w:t>
      </w:r>
      <w:r>
        <w:t>gender-based unacceptable b</w:t>
      </w:r>
      <w:r w:rsidR="000D2017">
        <w:t xml:space="preserve">ehaviours in the </w:t>
      </w:r>
      <w:r w:rsidR="00B54D2D">
        <w:t>2</w:t>
      </w:r>
      <w:r>
        <w:t xml:space="preserve"> years prior to the survey period. </w:t>
      </w:r>
      <w:r w:rsidR="005270E6">
        <w:t>It</w:t>
      </w:r>
      <w:r>
        <w:t xml:space="preserve"> found that 75% of agencies had reviewed their bullying-related documents, </w:t>
      </w:r>
      <w:r w:rsidR="00DE1D1F">
        <w:t xml:space="preserve">74% had reviewed their sexual harassment-related documents, and </w:t>
      </w:r>
      <w:r>
        <w:t xml:space="preserve">73% had reviewed their discrimination-related documents. </w:t>
      </w:r>
      <w:r w:rsidR="0096737B">
        <w:t>13</w:t>
      </w:r>
      <w:r w:rsidR="000D2017">
        <w:t>%</w:t>
      </w:r>
      <w:r w:rsidR="00B54D2D">
        <w:t xml:space="preserve"> of</w:t>
      </w:r>
      <w:r w:rsidR="000D2017">
        <w:t xml:space="preserve"> responding agencies</w:t>
      </w:r>
      <w:r>
        <w:t xml:space="preserve"> reported they had not reviewed their policies, supports</w:t>
      </w:r>
      <w:r w:rsidR="000D2017">
        <w:t>,</w:t>
      </w:r>
      <w:r>
        <w:t xml:space="preserve"> or processes related to gender-based unacceptable behaviours since the Strategy was published. </w:t>
      </w:r>
    </w:p>
    <w:p w14:paraId="48D1FC9E" w14:textId="320F8092" w:rsidR="00BD6FFA" w:rsidRDefault="00312B80" w:rsidP="00326A7F">
      <w:r>
        <w:t>Of the agencies that did review,</w:t>
      </w:r>
      <w:r w:rsidR="00BD6FFA">
        <w:t xml:space="preserve"> </w:t>
      </w:r>
      <w:r>
        <w:t xml:space="preserve">the following </w:t>
      </w:r>
      <w:r w:rsidR="002A0A13">
        <w:t>reflections</w:t>
      </w:r>
      <w:r>
        <w:t xml:space="preserve"> were reported:</w:t>
      </w:r>
    </w:p>
    <w:p w14:paraId="02780982" w14:textId="6E6B073A" w:rsidR="00BD6FFA" w:rsidRDefault="00712D6F" w:rsidP="00F9645E">
      <w:pPr>
        <w:pStyle w:val="ListParagraph"/>
        <w:numPr>
          <w:ilvl w:val="0"/>
          <w:numId w:val="31"/>
        </w:numPr>
      </w:pPr>
      <w:proofErr w:type="gramStart"/>
      <w:r>
        <w:t>w</w:t>
      </w:r>
      <w:r w:rsidR="000A2228">
        <w:t>hen</w:t>
      </w:r>
      <w:proofErr w:type="gramEnd"/>
      <w:r w:rsidR="000A2228">
        <w:t xml:space="preserve"> developing new policies and processes, c</w:t>
      </w:r>
      <w:r w:rsidR="00AF2001">
        <w:t xml:space="preserve">onsulting with staff and considering all feedback is vital </w:t>
      </w:r>
      <w:r w:rsidR="000A2228">
        <w:t>to understand perspectives and increase staff engagement and buy-in (</w:t>
      </w:r>
      <w:r w:rsidR="00395B2B">
        <w:t>10</w:t>
      </w:r>
      <w:r>
        <w:t>%)</w:t>
      </w:r>
    </w:p>
    <w:p w14:paraId="0D5A95EC" w14:textId="586B96F5" w:rsidR="00004AA6" w:rsidRPr="00004AA6" w:rsidRDefault="00712D6F" w:rsidP="00F9645E">
      <w:pPr>
        <w:pStyle w:val="ListParagraph"/>
        <w:numPr>
          <w:ilvl w:val="0"/>
          <w:numId w:val="31"/>
        </w:numPr>
        <w:rPr>
          <w:rFonts w:asciiTheme="minorHAnsi" w:eastAsiaTheme="minorHAnsi" w:hAnsiTheme="minorHAnsi" w:cstheme="minorBidi"/>
          <w:szCs w:val="22"/>
        </w:rPr>
      </w:pPr>
      <w:proofErr w:type="gramStart"/>
      <w:r>
        <w:t>i</w:t>
      </w:r>
      <w:r w:rsidR="000A2228">
        <w:t>t</w:t>
      </w:r>
      <w:proofErr w:type="gramEnd"/>
      <w:r w:rsidR="000A2228">
        <w:t xml:space="preserve"> is important to notify staff (particularly managers) of new policies, processes and procedures coming into effect, as well as communicate any changes to existing policies (</w:t>
      </w:r>
      <w:r w:rsidR="00395B2B">
        <w:t>9</w:t>
      </w:r>
      <w:r>
        <w:t>%)</w:t>
      </w:r>
    </w:p>
    <w:p w14:paraId="477190C3" w14:textId="7E16CFB3" w:rsidR="000A2228" w:rsidRPr="007D2BFA" w:rsidRDefault="00712D6F" w:rsidP="00F9645E">
      <w:pPr>
        <w:pStyle w:val="ListParagraph"/>
        <w:numPr>
          <w:ilvl w:val="0"/>
          <w:numId w:val="31"/>
        </w:numPr>
        <w:rPr>
          <w:rFonts w:eastAsiaTheme="minorHAnsi"/>
        </w:rPr>
      </w:pPr>
      <w:r>
        <w:rPr>
          <w:rFonts w:eastAsiaTheme="minorHAnsi"/>
        </w:rPr>
        <w:t>i</w:t>
      </w:r>
      <w:r w:rsidR="00004AA6" w:rsidRPr="007D2BFA">
        <w:rPr>
          <w:rFonts w:eastAsiaTheme="minorHAnsi"/>
        </w:rPr>
        <w:t>t is imperative</w:t>
      </w:r>
      <w:r w:rsidR="000A2228" w:rsidRPr="007D2BFA">
        <w:rPr>
          <w:rFonts w:eastAsiaTheme="minorHAnsi"/>
        </w:rPr>
        <w:t xml:space="preserve"> to </w:t>
      </w:r>
      <w:r w:rsidR="00004AA6" w:rsidRPr="007D2BFA">
        <w:rPr>
          <w:rFonts w:eastAsiaTheme="minorHAnsi"/>
        </w:rPr>
        <w:t xml:space="preserve">define clear roles and </w:t>
      </w:r>
      <w:r w:rsidR="000A2228" w:rsidRPr="007D2BFA">
        <w:rPr>
          <w:rFonts w:eastAsiaTheme="minorHAnsi"/>
        </w:rPr>
        <w:t>responsibilities</w:t>
      </w:r>
      <w:r w:rsidR="00004AA6" w:rsidRPr="007D2BFA">
        <w:rPr>
          <w:rFonts w:eastAsiaTheme="minorHAnsi"/>
        </w:rPr>
        <w:t xml:space="preserve"> in keeping the workplace safe,</w:t>
      </w:r>
      <w:r w:rsidR="000A2228" w:rsidRPr="007D2BFA">
        <w:rPr>
          <w:rFonts w:eastAsiaTheme="minorHAnsi"/>
        </w:rPr>
        <w:t xml:space="preserve"> and ensure </w:t>
      </w:r>
      <w:r w:rsidR="0069496E">
        <w:rPr>
          <w:rFonts w:eastAsiaTheme="minorHAnsi"/>
        </w:rPr>
        <w:t>adequate training for</w:t>
      </w:r>
      <w:r w:rsidR="000A2228" w:rsidRPr="007D2BFA">
        <w:rPr>
          <w:rFonts w:eastAsiaTheme="minorHAnsi"/>
        </w:rPr>
        <w:t xml:space="preserve"> staff that </w:t>
      </w:r>
      <w:r w:rsidR="00004AA6" w:rsidRPr="007D2BFA">
        <w:rPr>
          <w:rFonts w:eastAsiaTheme="minorHAnsi"/>
        </w:rPr>
        <w:t>hold roles in the prevention and management of unacceptable behaviours (e.g. complaints review unit, Workplace Harassment Contact Officer) (</w:t>
      </w:r>
      <w:r w:rsidR="00395B2B">
        <w:rPr>
          <w:rFonts w:eastAsiaTheme="minorHAnsi"/>
        </w:rPr>
        <w:t>9</w:t>
      </w:r>
      <w:r>
        <w:rPr>
          <w:rFonts w:eastAsiaTheme="minorHAnsi"/>
        </w:rPr>
        <w:t>%)</w:t>
      </w:r>
    </w:p>
    <w:p w14:paraId="6FF60CF2" w14:textId="63D13B9B" w:rsidR="00004AA6" w:rsidRPr="007D2BFA" w:rsidRDefault="00712D6F" w:rsidP="00F9645E">
      <w:pPr>
        <w:pStyle w:val="ListParagraph"/>
        <w:numPr>
          <w:ilvl w:val="0"/>
          <w:numId w:val="31"/>
        </w:numPr>
        <w:rPr>
          <w:rFonts w:eastAsiaTheme="minorHAnsi"/>
        </w:rPr>
      </w:pPr>
      <w:proofErr w:type="gramStart"/>
      <w:r>
        <w:rPr>
          <w:rFonts w:eastAsiaTheme="minorHAnsi"/>
        </w:rPr>
        <w:t>p</w:t>
      </w:r>
      <w:r w:rsidR="00004AA6" w:rsidRPr="007D2BFA">
        <w:rPr>
          <w:rFonts w:eastAsiaTheme="minorHAnsi"/>
        </w:rPr>
        <w:t>olicies</w:t>
      </w:r>
      <w:proofErr w:type="gramEnd"/>
      <w:r w:rsidR="00004AA6" w:rsidRPr="007D2BFA">
        <w:rPr>
          <w:rFonts w:eastAsiaTheme="minorHAnsi"/>
        </w:rPr>
        <w:t xml:space="preserve"> and processes should be reviewed intermittently to ensure they meet current best practice (</w:t>
      </w:r>
      <w:r w:rsidR="002C4D4D" w:rsidRPr="007D2BFA">
        <w:rPr>
          <w:rFonts w:eastAsiaTheme="minorHAnsi"/>
        </w:rPr>
        <w:t>7</w:t>
      </w:r>
      <w:r>
        <w:rPr>
          <w:rFonts w:eastAsiaTheme="minorHAnsi"/>
        </w:rPr>
        <w:t>%)</w:t>
      </w:r>
    </w:p>
    <w:p w14:paraId="43130896" w14:textId="053E6F18" w:rsidR="00992533" w:rsidRPr="007D2BFA" w:rsidRDefault="00712D6F" w:rsidP="00F9645E">
      <w:pPr>
        <w:pStyle w:val="ListParagraph"/>
        <w:numPr>
          <w:ilvl w:val="0"/>
          <w:numId w:val="31"/>
        </w:numPr>
        <w:rPr>
          <w:rFonts w:eastAsiaTheme="minorHAnsi"/>
        </w:rPr>
      </w:pPr>
      <w:proofErr w:type="gramStart"/>
      <w:r>
        <w:rPr>
          <w:rFonts w:eastAsiaTheme="minorHAnsi"/>
        </w:rPr>
        <w:t>i</w:t>
      </w:r>
      <w:r w:rsidR="00992533" w:rsidRPr="007D2BFA">
        <w:rPr>
          <w:rFonts w:eastAsiaTheme="minorHAnsi"/>
        </w:rPr>
        <w:t>t</w:t>
      </w:r>
      <w:proofErr w:type="gramEnd"/>
      <w:r w:rsidR="00992533" w:rsidRPr="007D2BFA">
        <w:rPr>
          <w:rFonts w:eastAsiaTheme="minorHAnsi"/>
        </w:rPr>
        <w:t xml:space="preserve"> is beneficial to have a variety of reporting mechanisms and to implement dedicated standalone resources (i.e. a standalone team for safe and respectful workplaces or a dedicated Sexual Harassment Policy) for the management of unacceptable workplace behaviours (</w:t>
      </w:r>
      <w:r w:rsidR="00656D7B">
        <w:rPr>
          <w:rFonts w:eastAsiaTheme="minorHAnsi"/>
        </w:rPr>
        <w:t>6</w:t>
      </w:r>
      <w:r>
        <w:rPr>
          <w:rFonts w:eastAsiaTheme="minorHAnsi"/>
        </w:rPr>
        <w:t>%)</w:t>
      </w:r>
    </w:p>
    <w:p w14:paraId="397D8B52" w14:textId="795EB1FB" w:rsidR="00004AA6" w:rsidRPr="007D2BFA" w:rsidRDefault="00712D6F" w:rsidP="00F9645E">
      <w:pPr>
        <w:pStyle w:val="ListParagraph"/>
        <w:numPr>
          <w:ilvl w:val="0"/>
          <w:numId w:val="31"/>
        </w:numPr>
        <w:rPr>
          <w:rFonts w:eastAsiaTheme="minorHAnsi"/>
        </w:rPr>
      </w:pPr>
      <w:proofErr w:type="gramStart"/>
      <w:r>
        <w:rPr>
          <w:rFonts w:eastAsiaTheme="minorHAnsi"/>
        </w:rPr>
        <w:t>t</w:t>
      </w:r>
      <w:r w:rsidR="00004AA6" w:rsidRPr="007D2BFA">
        <w:rPr>
          <w:rFonts w:eastAsiaTheme="minorHAnsi"/>
        </w:rPr>
        <w:t>he</w:t>
      </w:r>
      <w:proofErr w:type="gramEnd"/>
      <w:r w:rsidR="00004AA6" w:rsidRPr="007D2BFA">
        <w:rPr>
          <w:rFonts w:eastAsiaTheme="minorHAnsi"/>
        </w:rPr>
        <w:t xml:space="preserve"> review, promotion and support of Workplace Harassment Contact Officer and Mental Health First Aid networks is beneficial (</w:t>
      </w:r>
      <w:r w:rsidR="00C2103A" w:rsidRPr="007D2BFA">
        <w:rPr>
          <w:rFonts w:eastAsiaTheme="minorHAnsi"/>
        </w:rPr>
        <w:t>5</w:t>
      </w:r>
      <w:r w:rsidR="00004AA6" w:rsidRPr="007D2BFA">
        <w:rPr>
          <w:rFonts w:eastAsiaTheme="minorHAnsi"/>
        </w:rPr>
        <w:t>%).</w:t>
      </w:r>
    </w:p>
    <w:p w14:paraId="5D89BFC7" w14:textId="3AAC85F2" w:rsidR="00326A7F" w:rsidRPr="007D2BFA" w:rsidRDefault="005E5C30" w:rsidP="00F04648">
      <w:pPr>
        <w:rPr>
          <w:color w:val="auto"/>
        </w:rPr>
      </w:pPr>
      <w:r>
        <w:rPr>
          <w:color w:val="auto"/>
        </w:rPr>
        <w:t>The Workplace Gender Equality Agency’s (WGEA’s)</w:t>
      </w:r>
      <w:r w:rsidR="00326A7F" w:rsidRPr="007D2BFA">
        <w:rPr>
          <w:color w:val="auto"/>
        </w:rPr>
        <w:t xml:space="preserve"> </w:t>
      </w:r>
      <w:r w:rsidR="423F6270" w:rsidRPr="005E5C30">
        <w:rPr>
          <w:i/>
          <w:color w:val="auto"/>
        </w:rPr>
        <w:t>2022</w:t>
      </w:r>
      <w:r w:rsidR="421AA4C6" w:rsidRPr="005E5C30">
        <w:rPr>
          <w:i/>
          <w:color w:val="auto"/>
        </w:rPr>
        <w:t xml:space="preserve"> Commonwealth Public Sector Gender Equality Snapshot</w:t>
      </w:r>
      <w:r w:rsidR="00326A7F" w:rsidRPr="007D2BFA">
        <w:rPr>
          <w:color w:val="auto"/>
        </w:rPr>
        <w:t xml:space="preserve"> also reported other prevention measures</w:t>
      </w:r>
      <w:r w:rsidR="00D040FB">
        <w:rPr>
          <w:color w:val="auto"/>
        </w:rPr>
        <w:t xml:space="preserve"> utilised by </w:t>
      </w:r>
      <w:r w:rsidR="00C76EE9">
        <w:rPr>
          <w:color w:val="auto"/>
        </w:rPr>
        <w:t xml:space="preserve">Commonwealth </w:t>
      </w:r>
      <w:r w:rsidR="00CF6A45">
        <w:rPr>
          <w:color w:val="auto"/>
        </w:rPr>
        <w:t>entities</w:t>
      </w:r>
      <w:r w:rsidR="007F3B7C">
        <w:rPr>
          <w:color w:val="auto"/>
        </w:rPr>
        <w:t>.</w:t>
      </w:r>
      <w:r w:rsidR="007078E5">
        <w:rPr>
          <w:rStyle w:val="FootnoteReference"/>
          <w:color w:val="auto"/>
        </w:rPr>
        <w:footnoteReference w:id="11"/>
      </w:r>
      <w:r w:rsidR="00326A7F" w:rsidRPr="007D2BFA">
        <w:rPr>
          <w:color w:val="auto"/>
        </w:rPr>
        <w:t xml:space="preserve"> </w:t>
      </w:r>
      <w:r w:rsidR="00F10977">
        <w:rPr>
          <w:color w:val="auto"/>
        </w:rPr>
        <w:t xml:space="preserve">94% of </w:t>
      </w:r>
      <w:r w:rsidR="00C76EE9">
        <w:rPr>
          <w:color w:val="auto"/>
        </w:rPr>
        <w:t xml:space="preserve">participating </w:t>
      </w:r>
      <w:r w:rsidR="00CF6A45">
        <w:rPr>
          <w:color w:val="auto"/>
        </w:rPr>
        <w:t>entities</w:t>
      </w:r>
      <w:r w:rsidR="00326A7F" w:rsidRPr="007D2BFA">
        <w:rPr>
          <w:color w:val="auto"/>
        </w:rPr>
        <w:t xml:space="preserve"> had sex-based harassment </w:t>
      </w:r>
      <w:r w:rsidR="00C76EE9">
        <w:rPr>
          <w:color w:val="auto"/>
        </w:rPr>
        <w:t>grievance process</w:t>
      </w:r>
      <w:r w:rsidR="007078E5">
        <w:rPr>
          <w:color w:val="auto"/>
        </w:rPr>
        <w:t>,</w:t>
      </w:r>
      <w:r w:rsidR="00C76EE9">
        <w:rPr>
          <w:color w:val="auto"/>
        </w:rPr>
        <w:t xml:space="preserve"> </w:t>
      </w:r>
      <w:r w:rsidR="00F10977">
        <w:rPr>
          <w:color w:val="auto"/>
        </w:rPr>
        <w:t xml:space="preserve">90% </w:t>
      </w:r>
      <w:r w:rsidR="007078E5">
        <w:rPr>
          <w:color w:val="auto"/>
        </w:rPr>
        <w:t>provided</w:t>
      </w:r>
      <w:r w:rsidR="007078E5" w:rsidRPr="332DC8FF">
        <w:rPr>
          <w:color w:val="auto"/>
        </w:rPr>
        <w:t xml:space="preserve"> </w:t>
      </w:r>
      <w:r w:rsidR="00326A7F" w:rsidRPr="007D2BFA">
        <w:rPr>
          <w:color w:val="auto"/>
        </w:rPr>
        <w:t>sex-based harassment and discrimination prevention tr</w:t>
      </w:r>
      <w:r w:rsidR="00256AF8" w:rsidRPr="007D2BFA">
        <w:rPr>
          <w:color w:val="auto"/>
        </w:rPr>
        <w:t>aining for all employees</w:t>
      </w:r>
      <w:r w:rsidR="00BC0A09">
        <w:rPr>
          <w:color w:val="auto"/>
        </w:rPr>
        <w:t>, and 78% provided prevention training to managers</w:t>
      </w:r>
      <w:r w:rsidR="00256AF8" w:rsidRPr="007D2BFA">
        <w:rPr>
          <w:color w:val="auto"/>
        </w:rPr>
        <w:t>.</w:t>
      </w:r>
    </w:p>
    <w:p w14:paraId="0391710E" w14:textId="541985D4" w:rsidR="000F3793" w:rsidRPr="007B4283" w:rsidRDefault="00BD5BA5" w:rsidP="00F7346A">
      <w:pPr>
        <w:pStyle w:val="Heading3"/>
      </w:pPr>
      <w:bookmarkStart w:id="681" w:name="_Toc168329181"/>
      <w:bookmarkStart w:id="682" w:name="_Toc168322838"/>
      <w:bookmarkStart w:id="683" w:name="_Toc168387954"/>
      <w:bookmarkStart w:id="684" w:name="_Toc168405609"/>
      <w:bookmarkStart w:id="685" w:name="_Toc168408647"/>
      <w:bookmarkStart w:id="686" w:name="_Toc168411049"/>
      <w:bookmarkStart w:id="687" w:name="_Toc168405908"/>
      <w:bookmarkStart w:id="688" w:name="_Toc168473716"/>
      <w:bookmarkStart w:id="689" w:name="_Toc168471614"/>
      <w:bookmarkStart w:id="690" w:name="_Toc168484674"/>
      <w:bookmarkStart w:id="691" w:name="_Toc168495142"/>
      <w:bookmarkStart w:id="692" w:name="_Toc168495591"/>
      <w:bookmarkStart w:id="693" w:name="_Toc169103259"/>
      <w:bookmarkStart w:id="694" w:name="_Toc169104733"/>
      <w:bookmarkStart w:id="695" w:name="_Toc169278449"/>
      <w:bookmarkStart w:id="696" w:name="_Toc169536888"/>
      <w:bookmarkStart w:id="697" w:name="_Toc169708637"/>
      <w:bookmarkStart w:id="698" w:name="_Toc170119681"/>
      <w:bookmarkStart w:id="699" w:name="_Toc170138064"/>
      <w:bookmarkStart w:id="700" w:name="_Toc170140137"/>
      <w:r>
        <w:t>Agencies s</w:t>
      </w:r>
      <w:r w:rsidR="000F3793" w:rsidRPr="007B4283">
        <w:t>trengthening approaches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5E3564ED" w14:textId="448EF8EA" w:rsidR="007374EA" w:rsidRPr="007D2BFA" w:rsidRDefault="00355A22" w:rsidP="000F3793">
      <w:pPr>
        <w:rPr>
          <w:color w:val="auto"/>
        </w:rPr>
      </w:pPr>
      <w:r w:rsidRPr="007D2BFA">
        <w:rPr>
          <w:color w:val="auto"/>
        </w:rPr>
        <w:t>The GES Survey indicated that</w:t>
      </w:r>
      <w:r w:rsidR="000F3793" w:rsidRPr="007D2BFA">
        <w:rPr>
          <w:color w:val="auto"/>
        </w:rPr>
        <w:t xml:space="preserve"> </w:t>
      </w:r>
      <w:r w:rsidR="007B4283" w:rsidRPr="007D2BFA">
        <w:rPr>
          <w:color w:val="auto"/>
        </w:rPr>
        <w:t xml:space="preserve">since the Strategy publication, </w:t>
      </w:r>
      <w:r w:rsidR="000F3793" w:rsidRPr="007D2BFA">
        <w:rPr>
          <w:color w:val="auto"/>
        </w:rPr>
        <w:t>agencies have implemented a range of initiatives that have strengthened their approaches to preventing and responding to gender-based unacceptable behaviours</w:t>
      </w:r>
      <w:r w:rsidRPr="007D2BFA">
        <w:rPr>
          <w:color w:val="auto"/>
        </w:rPr>
        <w:t xml:space="preserve"> </w:t>
      </w:r>
      <w:r w:rsidR="007B4283" w:rsidRPr="007D2BFA">
        <w:rPr>
          <w:color w:val="auto"/>
        </w:rPr>
        <w:t>(</w:t>
      </w:r>
      <w:r w:rsidR="00F32D0D" w:rsidRPr="007D2BFA">
        <w:rPr>
          <w:color w:val="auto"/>
        </w:rPr>
        <w:fldChar w:fldCharType="begin"/>
      </w:r>
      <w:r w:rsidR="00F32D0D" w:rsidRPr="007D2BFA">
        <w:rPr>
          <w:color w:val="auto"/>
        </w:rPr>
        <w:instrText xml:space="preserve"> REF _Ref168387147 \h </w:instrText>
      </w:r>
      <w:r w:rsidR="00F32D0D" w:rsidRPr="007D2BFA">
        <w:rPr>
          <w:color w:val="auto"/>
        </w:rPr>
      </w:r>
      <w:r w:rsidR="00F32D0D" w:rsidRPr="007D2BFA">
        <w:rPr>
          <w:color w:val="auto"/>
        </w:rPr>
        <w:fldChar w:fldCharType="separate"/>
      </w:r>
      <w:r w:rsidR="004166B9" w:rsidRPr="007374EA">
        <w:t xml:space="preserve">Figure </w:t>
      </w:r>
      <w:r w:rsidR="004166B9">
        <w:rPr>
          <w:noProof/>
        </w:rPr>
        <w:t>9</w:t>
      </w:r>
      <w:r w:rsidR="00F32D0D" w:rsidRPr="007D2BFA">
        <w:rPr>
          <w:color w:val="auto"/>
        </w:rPr>
        <w:fldChar w:fldCharType="end"/>
      </w:r>
      <w:r w:rsidR="00F32D0D" w:rsidRPr="007D2BFA">
        <w:rPr>
          <w:color w:val="auto"/>
        </w:rPr>
        <w:t>)</w:t>
      </w:r>
      <w:r w:rsidR="007B4283" w:rsidRPr="007D2BFA">
        <w:rPr>
          <w:color w:val="auto"/>
        </w:rPr>
        <w:t>. The most common was providing</w:t>
      </w:r>
      <w:r w:rsidR="000F3793" w:rsidRPr="007D2BFA">
        <w:rPr>
          <w:color w:val="auto"/>
        </w:rPr>
        <w:t xml:space="preserve"> educational materials</w:t>
      </w:r>
      <w:r w:rsidR="001D69C9" w:rsidRPr="007D2BFA">
        <w:rPr>
          <w:color w:val="auto"/>
        </w:rPr>
        <w:t xml:space="preserve"> (</w:t>
      </w:r>
      <w:r w:rsidR="007B4283" w:rsidRPr="007D2BFA">
        <w:rPr>
          <w:color w:val="auto"/>
        </w:rPr>
        <w:t>84%), such as a</w:t>
      </w:r>
      <w:r w:rsidR="001D69C9" w:rsidRPr="007D2BFA">
        <w:rPr>
          <w:color w:val="auto"/>
        </w:rPr>
        <w:t xml:space="preserve"> dedicated intranet page or suite of resources, training sessions</w:t>
      </w:r>
      <w:r w:rsidR="00C526B4" w:rsidRPr="007D2BFA">
        <w:rPr>
          <w:color w:val="auto"/>
        </w:rPr>
        <w:t xml:space="preserve">, </w:t>
      </w:r>
      <w:r w:rsidR="007B4283" w:rsidRPr="007D2BFA">
        <w:rPr>
          <w:color w:val="auto"/>
        </w:rPr>
        <w:t xml:space="preserve">or </w:t>
      </w:r>
      <w:r w:rsidR="00C526B4" w:rsidRPr="007D2BFA">
        <w:rPr>
          <w:color w:val="auto"/>
        </w:rPr>
        <w:t>coaching</w:t>
      </w:r>
      <w:r w:rsidR="007B4283" w:rsidRPr="007D2BFA">
        <w:rPr>
          <w:color w:val="auto"/>
        </w:rPr>
        <w:t>.</w:t>
      </w:r>
    </w:p>
    <w:p w14:paraId="3B8F8811" w14:textId="3D104208" w:rsidR="006A012E" w:rsidRPr="007374EA" w:rsidRDefault="006A012E" w:rsidP="00330F48">
      <w:pPr>
        <w:pStyle w:val="Heading5"/>
      </w:pPr>
      <w:bookmarkStart w:id="701" w:name="_Ref168387147"/>
      <w:bookmarkStart w:id="702" w:name="_Ref167804688"/>
      <w:bookmarkStart w:id="703" w:name="_Toc168405558"/>
      <w:bookmarkStart w:id="704" w:name="_Toc168408707"/>
      <w:bookmarkStart w:id="705" w:name="_Toc168410997"/>
      <w:bookmarkStart w:id="706" w:name="_Toc168405857"/>
      <w:bookmarkStart w:id="707" w:name="_Toc168473665"/>
      <w:bookmarkStart w:id="708" w:name="_Toc168471563"/>
      <w:bookmarkStart w:id="709" w:name="_Toc168484622"/>
      <w:bookmarkStart w:id="710" w:name="_Toc168495091"/>
      <w:bookmarkStart w:id="711" w:name="_Toc168495540"/>
      <w:bookmarkStart w:id="712" w:name="_Toc168586009"/>
      <w:bookmarkStart w:id="713" w:name="_Toc168586444"/>
      <w:bookmarkStart w:id="714" w:name="_Toc169278402"/>
      <w:bookmarkStart w:id="715" w:name="_Toc169536517"/>
      <w:bookmarkStart w:id="716" w:name="_Toc169708598"/>
      <w:bookmarkStart w:id="717" w:name="_Toc170138026"/>
      <w:bookmarkStart w:id="718" w:name="_Toc170140099"/>
      <w:bookmarkStart w:id="719" w:name="_Toc173857131"/>
      <w:r w:rsidRPr="007374EA">
        <w:lastRenderedPageBreak/>
        <w:t xml:space="preserve">Figure </w:t>
      </w:r>
      <w:r>
        <w:fldChar w:fldCharType="begin"/>
      </w:r>
      <w:r>
        <w:instrText>SEQ Figure \* ARABIC</w:instrText>
      </w:r>
      <w:r>
        <w:fldChar w:fldCharType="separate"/>
      </w:r>
      <w:r w:rsidR="004166B9">
        <w:rPr>
          <w:noProof/>
        </w:rPr>
        <w:t>9</w:t>
      </w:r>
      <w:r>
        <w:fldChar w:fldCharType="end"/>
      </w:r>
      <w:bookmarkEnd w:id="701"/>
      <w:r w:rsidRPr="007374EA">
        <w:t xml:space="preserve"> Initiatives implemented</w:t>
      </w:r>
      <w:bookmarkEnd w:id="702"/>
      <w:r w:rsidR="007B4283" w:rsidRPr="007374EA">
        <w:t xml:space="preserve"> </w:t>
      </w:r>
      <w:r w:rsidR="000C2E8C">
        <w:t>to strengthen prevention of and/or respon</w:t>
      </w:r>
      <w:r w:rsidR="00AC2029">
        <w:t>d</w:t>
      </w:r>
      <w:r w:rsidR="000C2E8C">
        <w:t xml:space="preserve"> to gender-based unacceptable behaviours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007B4283" w:rsidRPr="007374EA">
        <w:t xml:space="preserve"> </w:t>
      </w:r>
    </w:p>
    <w:p w14:paraId="08777034" w14:textId="7725C04C" w:rsidR="00506023" w:rsidRDefault="006A012E" w:rsidP="000F3793">
      <w:r>
        <w:rPr>
          <w:noProof/>
          <w:lang w:eastAsia="en-AU"/>
        </w:rPr>
        <w:drawing>
          <wp:inline distT="0" distB="0" distL="0" distR="0" wp14:anchorId="7E4F24B5" wp14:editId="2A43D229">
            <wp:extent cx="5760000" cy="2940908"/>
            <wp:effectExtent l="0" t="0" r="0" b="0"/>
            <wp:docPr id="27" name="Chart 27" descr="Figure 9 Initiatives implemented to strengthen prevention of and/or respond to gender-based unacceptable behaviours " title="Figure 9 Initiatives implemented to strengthen prevention of and/or respond to gender-based unacceptable behaviou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9BAA659" w14:textId="2AF13BBE" w:rsidR="006A012E" w:rsidRPr="00ED5846" w:rsidRDefault="006A012E" w:rsidP="000F3793">
      <w:pPr>
        <w:rPr>
          <w:sz w:val="16"/>
        </w:rPr>
      </w:pPr>
      <w:r w:rsidRPr="00ED5846">
        <w:rPr>
          <w:sz w:val="16"/>
        </w:rPr>
        <w:t xml:space="preserve">Source: 2024 </w:t>
      </w:r>
      <w:r w:rsidR="008A3BB3">
        <w:rPr>
          <w:sz w:val="16"/>
        </w:rPr>
        <w:t>GES</w:t>
      </w:r>
      <w:r w:rsidR="00876F89">
        <w:rPr>
          <w:sz w:val="16"/>
        </w:rPr>
        <w:t xml:space="preserve"> Survey.</w:t>
      </w:r>
    </w:p>
    <w:p w14:paraId="6B014DFC" w14:textId="7CEF4392" w:rsidR="00355A22" w:rsidRDefault="00355A22" w:rsidP="000F3793">
      <w:r>
        <w:t>So</w:t>
      </w:r>
      <w:r w:rsidR="001716CA">
        <w:t>me agencies shared</w:t>
      </w:r>
      <w:r w:rsidR="00621BB7">
        <w:t xml:space="preserve"> the lessons learned from strengthening their approaches to preventing and/or responding to unacceptable workplace behaviours:</w:t>
      </w:r>
    </w:p>
    <w:p w14:paraId="4E8E396E" w14:textId="3AF7B391" w:rsidR="008D13F0" w:rsidRDefault="00CF39EC" w:rsidP="00F9645E">
      <w:pPr>
        <w:pStyle w:val="ListParagraph"/>
        <w:numPr>
          <w:ilvl w:val="0"/>
          <w:numId w:val="33"/>
        </w:numPr>
      </w:pPr>
      <w:proofErr w:type="gramStart"/>
      <w:r>
        <w:t>e</w:t>
      </w:r>
      <w:r w:rsidR="008D13F0">
        <w:t>ducation</w:t>
      </w:r>
      <w:proofErr w:type="gramEnd"/>
      <w:r w:rsidR="008D13F0">
        <w:t xml:space="preserve"> and awareness of policy changes and individual responsibilities and obligations in preventing unacceptable behaviours is key</w:t>
      </w:r>
      <w:r w:rsidR="007A27DC">
        <w:t xml:space="preserve"> </w:t>
      </w:r>
      <w:r w:rsidR="00BD5BA5">
        <w:t xml:space="preserve">for all staff and senior leaders </w:t>
      </w:r>
      <w:r w:rsidR="007A27DC">
        <w:t>(17%)</w:t>
      </w:r>
    </w:p>
    <w:p w14:paraId="17351315" w14:textId="7E2C07C6" w:rsidR="00621BB7" w:rsidRDefault="00CF39EC" w:rsidP="00F9645E">
      <w:pPr>
        <w:pStyle w:val="ListParagraph"/>
        <w:numPr>
          <w:ilvl w:val="0"/>
          <w:numId w:val="33"/>
        </w:numPr>
      </w:pPr>
      <w:proofErr w:type="gramStart"/>
      <w:r>
        <w:t>t</w:t>
      </w:r>
      <w:r w:rsidR="00621BB7">
        <w:t>he</w:t>
      </w:r>
      <w:proofErr w:type="gramEnd"/>
      <w:r w:rsidR="00621BB7">
        <w:t xml:space="preserve"> importance of establishing a variety of avenues for employees to raise concerns, including anonymous reporting methods</w:t>
      </w:r>
      <w:r w:rsidR="008D13F0">
        <w:t xml:space="preserve"> (</w:t>
      </w:r>
      <w:r w:rsidR="007A27DC">
        <w:t>14</w:t>
      </w:r>
      <w:r>
        <w:t>%)</w:t>
      </w:r>
    </w:p>
    <w:p w14:paraId="7C38FABD" w14:textId="39512451" w:rsidR="008D13F0" w:rsidRDefault="00CF39EC" w:rsidP="00F9645E">
      <w:pPr>
        <w:pStyle w:val="ListParagraph"/>
        <w:numPr>
          <w:ilvl w:val="0"/>
          <w:numId w:val="33"/>
        </w:numPr>
      </w:pPr>
      <w:proofErr w:type="gramStart"/>
      <w:r>
        <w:t>r</w:t>
      </w:r>
      <w:r w:rsidR="008D13F0">
        <w:t>egular</w:t>
      </w:r>
      <w:proofErr w:type="gramEnd"/>
      <w:r w:rsidR="008D13F0">
        <w:t xml:space="preserve"> review of policies and processes to ensure documents capture contemporary best practice is an important part of the preventi</w:t>
      </w:r>
      <w:r>
        <w:t>on and management process (5%)</w:t>
      </w:r>
      <w:r w:rsidR="00B65519">
        <w:t>.</w:t>
      </w:r>
    </w:p>
    <w:p w14:paraId="1BBC6C3B" w14:textId="3D38C229" w:rsidR="00621BB7" w:rsidRDefault="007A27DC" w:rsidP="00CF39EC">
      <w:r>
        <w:t xml:space="preserve">Other lessons included </w:t>
      </w:r>
      <w:r w:rsidR="000166F8">
        <w:t>capturing</w:t>
      </w:r>
      <w:r>
        <w:t xml:space="preserve"> de-identified data to provide insights into trends</w:t>
      </w:r>
      <w:r w:rsidR="000166F8">
        <w:t xml:space="preserve"> which can assist </w:t>
      </w:r>
      <w:r w:rsidR="002A0A13">
        <w:t>the development of</w:t>
      </w:r>
      <w:r w:rsidR="000166F8">
        <w:t xml:space="preserve"> preventative and support measures</w:t>
      </w:r>
      <w:r>
        <w:t>, having adequate recordkeeping processes</w:t>
      </w:r>
      <w:r w:rsidR="00DC79BE">
        <w:t>,</w:t>
      </w:r>
      <w:r w:rsidR="000166F8">
        <w:t xml:space="preserve"> and establishing a standalone team </w:t>
      </w:r>
      <w:r w:rsidR="00513D1A">
        <w:t xml:space="preserve">focused on preventing </w:t>
      </w:r>
      <w:r w:rsidR="000166F8">
        <w:t xml:space="preserve">harassment and bullying. </w:t>
      </w:r>
    </w:p>
    <w:p w14:paraId="4416BF99" w14:textId="0E359128" w:rsidR="00091478" w:rsidRPr="007B4283" w:rsidRDefault="007E0D4D" w:rsidP="00F7346A">
      <w:pPr>
        <w:pStyle w:val="Heading3"/>
      </w:pPr>
      <w:bookmarkStart w:id="720" w:name="_Toc168329182"/>
      <w:bookmarkStart w:id="721" w:name="_Toc168322839"/>
      <w:bookmarkStart w:id="722" w:name="_Toc168387955"/>
      <w:bookmarkStart w:id="723" w:name="_Toc168405610"/>
      <w:bookmarkStart w:id="724" w:name="_Toc168408648"/>
      <w:bookmarkStart w:id="725" w:name="_Toc168411050"/>
      <w:bookmarkStart w:id="726" w:name="_Toc168405909"/>
      <w:bookmarkStart w:id="727" w:name="_Toc168473717"/>
      <w:bookmarkStart w:id="728" w:name="_Toc168471615"/>
      <w:bookmarkStart w:id="729" w:name="_Toc168484675"/>
      <w:bookmarkStart w:id="730" w:name="_Toc168495143"/>
      <w:bookmarkStart w:id="731" w:name="_Toc168495592"/>
      <w:bookmarkStart w:id="732" w:name="_Toc169103260"/>
      <w:bookmarkStart w:id="733" w:name="_Toc169104734"/>
      <w:bookmarkStart w:id="734" w:name="_Toc169278450"/>
      <w:bookmarkStart w:id="735" w:name="_Toc169536889"/>
      <w:bookmarkStart w:id="736" w:name="_Toc169708638"/>
      <w:bookmarkStart w:id="737" w:name="_Toc170119682"/>
      <w:bookmarkStart w:id="738" w:name="_Toc170138065"/>
      <w:bookmarkStart w:id="739" w:name="_Toc170140138"/>
      <w:r>
        <w:t>Educational r</w:t>
      </w:r>
      <w:r w:rsidR="005F2728" w:rsidRPr="007B4283">
        <w:t>esources available</w:t>
      </w:r>
      <w:r w:rsidR="003433DE" w:rsidRPr="007B4283">
        <w:t xml:space="preserve"> to agencies</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04010218" w14:textId="6B2CF0B6" w:rsidR="008D3741" w:rsidRDefault="008D3741" w:rsidP="008D3741">
      <w:r>
        <w:t xml:space="preserve">The GES Survey found that in the </w:t>
      </w:r>
      <w:r w:rsidR="00B54D2D">
        <w:t>2</w:t>
      </w:r>
      <w:r>
        <w:t xml:space="preserve"> years prior to the survey period, 90% of agencies offered some form of education (i.e. training, information session) on workplace bullying, 90% offered education for workplace discrimination</w:t>
      </w:r>
      <w:r w:rsidR="00304208">
        <w:t>,</w:t>
      </w:r>
      <w:r>
        <w:t xml:space="preserve"> and 86% offered education on workplace sexual harassment. </w:t>
      </w:r>
    </w:p>
    <w:p w14:paraId="15B6E775" w14:textId="1831DCE6" w:rsidR="00E76344" w:rsidRDefault="00A24A61" w:rsidP="00E76344">
      <w:r>
        <w:t>A</w:t>
      </w:r>
      <w:r w:rsidR="008D3741">
        <w:t xml:space="preserve">gencies </w:t>
      </w:r>
      <w:r w:rsidR="00B65519">
        <w:t xml:space="preserve">were asked to </w:t>
      </w:r>
      <w:r w:rsidR="008D3741">
        <w:t xml:space="preserve">share where </w:t>
      </w:r>
      <w:r w:rsidR="003433DE">
        <w:t>they</w:t>
      </w:r>
      <w:r w:rsidR="00F65B0D">
        <w:t xml:space="preserve"> </w:t>
      </w:r>
      <w:r w:rsidR="008D3741">
        <w:t>sourced their educational material</w:t>
      </w:r>
      <w:r w:rsidR="00984F40">
        <w:t xml:space="preserve"> from:</w:t>
      </w:r>
    </w:p>
    <w:p w14:paraId="09331E5D" w14:textId="6E297A78" w:rsidR="005F2728" w:rsidRDefault="00D874FF" w:rsidP="00F9645E">
      <w:pPr>
        <w:pStyle w:val="ListParagraph"/>
        <w:numPr>
          <w:ilvl w:val="0"/>
          <w:numId w:val="33"/>
        </w:numPr>
      </w:pPr>
      <w:r>
        <w:t>e</w:t>
      </w:r>
      <w:r w:rsidR="008D3741">
        <w:t>ducational material</w:t>
      </w:r>
      <w:r w:rsidR="00767E7C">
        <w:t xml:space="preserve"> was from another APS source (</w:t>
      </w:r>
      <w:r w:rsidR="00C2103A">
        <w:t>23</w:t>
      </w:r>
      <w:r w:rsidR="00767E7C">
        <w:t xml:space="preserve">%): </w:t>
      </w:r>
      <w:hyperlink r:id="rId38" w:history="1">
        <w:proofErr w:type="spellStart"/>
        <w:r w:rsidR="00355A22" w:rsidRPr="00FA2447">
          <w:rPr>
            <w:rStyle w:val="Hyperlink"/>
          </w:rPr>
          <w:t>Respect@Work</w:t>
        </w:r>
        <w:proofErr w:type="spellEnd"/>
      </w:hyperlink>
      <w:r w:rsidR="00355A22">
        <w:t xml:space="preserve">, </w:t>
      </w:r>
      <w:hyperlink r:id="rId39" w:history="1">
        <w:r w:rsidR="00355A22" w:rsidRPr="00FA2447">
          <w:rPr>
            <w:rStyle w:val="Hyperlink"/>
          </w:rPr>
          <w:t>APS Academy</w:t>
        </w:r>
      </w:hyperlink>
      <w:r w:rsidR="00355A22">
        <w:t xml:space="preserve">, </w:t>
      </w:r>
      <w:hyperlink r:id="rId40" w:history="1">
        <w:proofErr w:type="spellStart"/>
        <w:r w:rsidR="00355A22" w:rsidRPr="00FA2447">
          <w:rPr>
            <w:rStyle w:val="Hyperlink"/>
          </w:rPr>
          <w:t>Comcare</w:t>
        </w:r>
        <w:proofErr w:type="spellEnd"/>
        <w:r w:rsidR="00355A22" w:rsidRPr="00FA2447">
          <w:rPr>
            <w:rStyle w:val="Hyperlink"/>
          </w:rPr>
          <w:t xml:space="preserve"> Training and Learning</w:t>
        </w:r>
      </w:hyperlink>
      <w:r w:rsidR="00355A22">
        <w:t xml:space="preserve">, </w:t>
      </w:r>
      <w:hyperlink r:id="rId41" w:history="1">
        <w:r w:rsidR="00355A22" w:rsidRPr="00FA2447">
          <w:rPr>
            <w:rStyle w:val="Hyperlink"/>
          </w:rPr>
          <w:t>Fair Work Commission Online Learning Portal</w:t>
        </w:r>
      </w:hyperlink>
      <w:r w:rsidR="00355A22">
        <w:rPr>
          <w:rStyle w:val="Hyperlink"/>
        </w:rPr>
        <w:t xml:space="preserve"> </w:t>
      </w:r>
      <w:r w:rsidR="00BC19F7">
        <w:t xml:space="preserve"> </w:t>
      </w:r>
    </w:p>
    <w:p w14:paraId="39F091B1" w14:textId="19DB704B" w:rsidR="00DE6B41" w:rsidRDefault="00D874FF" w:rsidP="00F9645E">
      <w:pPr>
        <w:pStyle w:val="ListParagraph"/>
        <w:numPr>
          <w:ilvl w:val="0"/>
          <w:numId w:val="33"/>
        </w:numPr>
      </w:pPr>
      <w:proofErr w:type="gramStart"/>
      <w:r>
        <w:t>t</w:t>
      </w:r>
      <w:r w:rsidR="00DE6B41">
        <w:t>raining</w:t>
      </w:r>
      <w:proofErr w:type="gramEnd"/>
      <w:r w:rsidR="00DE6B41">
        <w:t xml:space="preserve"> courses were delivered by an external provider (</w:t>
      </w:r>
      <w:r w:rsidR="00C2103A">
        <w:t>16</w:t>
      </w:r>
      <w:r w:rsidR="00DE6B41">
        <w:t>%)</w:t>
      </w:r>
    </w:p>
    <w:p w14:paraId="22A4608D" w14:textId="5D144ECF" w:rsidR="00DE6B41" w:rsidRDefault="00D874FF" w:rsidP="00F9645E">
      <w:pPr>
        <w:pStyle w:val="ListParagraph"/>
        <w:numPr>
          <w:ilvl w:val="0"/>
          <w:numId w:val="33"/>
        </w:numPr>
      </w:pPr>
      <w:r>
        <w:t>e</w:t>
      </w:r>
      <w:r w:rsidR="008D3741">
        <w:t>ducational materials were developed internally (</w:t>
      </w:r>
      <w:r w:rsidR="00C2103A">
        <w:t>16</w:t>
      </w:r>
      <w:r w:rsidR="008D3741">
        <w:t>%) i.e. e-learning module, PowerPoint p</w:t>
      </w:r>
      <w:r>
        <w:t>resentation or recorded webinar</w:t>
      </w:r>
    </w:p>
    <w:p w14:paraId="002A6FAF" w14:textId="469672CA" w:rsidR="00381675" w:rsidRDefault="00D874FF" w:rsidP="00F9645E">
      <w:pPr>
        <w:pStyle w:val="ListParagraph"/>
        <w:numPr>
          <w:ilvl w:val="0"/>
          <w:numId w:val="33"/>
        </w:numPr>
      </w:pPr>
      <w:proofErr w:type="gramStart"/>
      <w:r>
        <w:t>e</w:t>
      </w:r>
      <w:r w:rsidR="00381675">
        <w:t>ducational</w:t>
      </w:r>
      <w:proofErr w:type="gramEnd"/>
      <w:r w:rsidR="00381675">
        <w:t xml:space="preserve"> materials </w:t>
      </w:r>
      <w:r w:rsidR="00513D1A">
        <w:t xml:space="preserve">bespoke to agency-specific needs </w:t>
      </w:r>
      <w:r w:rsidR="00381675">
        <w:t>not suitable for sharing (1</w:t>
      </w:r>
      <w:r w:rsidR="00C2103A">
        <w:t>3</w:t>
      </w:r>
      <w:r w:rsidR="00381675">
        <w:t>%)</w:t>
      </w:r>
      <w:r w:rsidR="00116E69">
        <w:t>,</w:t>
      </w:r>
      <w:r w:rsidR="00381675">
        <w:t xml:space="preserve"> </w:t>
      </w:r>
    </w:p>
    <w:p w14:paraId="51956B40" w14:textId="75C28C42" w:rsidR="005F2728" w:rsidRDefault="00D874FF" w:rsidP="00F9645E">
      <w:pPr>
        <w:pStyle w:val="ListParagraph"/>
        <w:numPr>
          <w:ilvl w:val="0"/>
          <w:numId w:val="33"/>
        </w:numPr>
      </w:pPr>
      <w:proofErr w:type="gramStart"/>
      <w:r>
        <w:lastRenderedPageBreak/>
        <w:t>t</w:t>
      </w:r>
      <w:r w:rsidR="008D3741">
        <w:t>raining</w:t>
      </w:r>
      <w:proofErr w:type="gramEnd"/>
      <w:r w:rsidR="008D3741">
        <w:t xml:space="preserve"> c</w:t>
      </w:r>
      <w:r w:rsidR="007F1D85">
        <w:t xml:space="preserve">ourses </w:t>
      </w:r>
      <w:r w:rsidR="00381675">
        <w:t xml:space="preserve">were </w:t>
      </w:r>
      <w:r w:rsidR="000D0AC7">
        <w:t>sourced</w:t>
      </w:r>
      <w:r w:rsidR="00381675">
        <w:t xml:space="preserve"> from</w:t>
      </w:r>
      <w:r w:rsidR="007F1D85">
        <w:t xml:space="preserve"> </w:t>
      </w:r>
      <w:hyperlink r:id="rId42" w:history="1">
        <w:proofErr w:type="spellStart"/>
        <w:r w:rsidR="005F2728" w:rsidRPr="007F1D85">
          <w:rPr>
            <w:rStyle w:val="Hyperlink"/>
          </w:rPr>
          <w:t>Learnhub</w:t>
        </w:r>
        <w:proofErr w:type="spellEnd"/>
      </w:hyperlink>
      <w:r w:rsidR="007F1D85">
        <w:t xml:space="preserve"> </w:t>
      </w:r>
      <w:r w:rsidR="005F2728">
        <w:t>via subscription</w:t>
      </w:r>
      <w:r w:rsidR="00767E7C">
        <w:t xml:space="preserve"> (9%)</w:t>
      </w:r>
      <w:r w:rsidR="001115F3">
        <w:t>.</w:t>
      </w:r>
    </w:p>
    <w:p w14:paraId="69DCC17B" w14:textId="69F89A39" w:rsidR="00984F40" w:rsidRDefault="00984F40" w:rsidP="00362C1F">
      <w:pPr>
        <w:pStyle w:val="Heading4"/>
      </w:pPr>
      <w:r>
        <w:t>APS Academy resources</w:t>
      </w:r>
    </w:p>
    <w:p w14:paraId="359D2636" w14:textId="7E0D926D" w:rsidR="00362C1F" w:rsidRPr="007374EA" w:rsidRDefault="00984F40" w:rsidP="00C04CDC">
      <w:r w:rsidRPr="007374EA">
        <w:t xml:space="preserve">APS Academy has created a </w:t>
      </w:r>
      <w:hyperlink r:id="rId43" w:history="1">
        <w:r w:rsidRPr="00984F40">
          <w:rPr>
            <w:rStyle w:val="Hyperlink"/>
            <w:rFonts w:eastAsiaTheme="majorEastAsia" w:cstheme="minorHAnsi"/>
          </w:rPr>
          <w:t>Cross Agency Training Hub</w:t>
        </w:r>
      </w:hyperlink>
      <w:r>
        <w:rPr>
          <w:color w:val="1F497D"/>
        </w:rPr>
        <w:t xml:space="preserve"> </w:t>
      </w:r>
      <w:r w:rsidRPr="007374EA">
        <w:t>to provide a list of APS agencies that deliver essential information and training content</w:t>
      </w:r>
      <w:r w:rsidR="00CF595A">
        <w:t xml:space="preserve"> </w:t>
      </w:r>
      <w:r w:rsidR="00513D1A">
        <w:t>for</w:t>
      </w:r>
      <w:r w:rsidR="00513D1A" w:rsidRPr="007374EA">
        <w:t xml:space="preserve"> </w:t>
      </w:r>
      <w:r w:rsidRPr="007374EA">
        <w:t xml:space="preserve">APS employees. This includes resources to support capability uplift on preventing sexual harassment from </w:t>
      </w:r>
      <w:proofErr w:type="spellStart"/>
      <w:r w:rsidRPr="007374EA">
        <w:t>Respect@Work</w:t>
      </w:r>
      <w:proofErr w:type="spellEnd"/>
      <w:r w:rsidRPr="007374EA">
        <w:t xml:space="preserve">, </w:t>
      </w:r>
      <w:proofErr w:type="spellStart"/>
      <w:r w:rsidRPr="007374EA">
        <w:t>Comcare</w:t>
      </w:r>
      <w:proofErr w:type="spellEnd"/>
      <w:r w:rsidRPr="007374EA">
        <w:t>, AHRC</w:t>
      </w:r>
      <w:r w:rsidR="00CF595A">
        <w:t>,</w:t>
      </w:r>
      <w:r w:rsidRPr="007374EA">
        <w:t xml:space="preserve"> and Fair Work Commission.</w:t>
      </w:r>
    </w:p>
    <w:p w14:paraId="2D40B88D" w14:textId="77777777" w:rsidR="00EB2EFC" w:rsidRPr="00C04CDC" w:rsidRDefault="00362C1F" w:rsidP="003A5F45">
      <w:pPr>
        <w:ind w:left="720"/>
        <w:rPr>
          <w:rStyle w:val="Emphasis"/>
        </w:rPr>
      </w:pPr>
      <w:r w:rsidRPr="00C04CDC">
        <w:rPr>
          <w:rStyle w:val="Emphasis"/>
        </w:rPr>
        <w:t xml:space="preserve">The Academy’s </w:t>
      </w:r>
      <w:r w:rsidR="00984F40" w:rsidRPr="00C04CDC">
        <w:rPr>
          <w:rStyle w:val="Emphasis"/>
        </w:rPr>
        <w:t>APS Induction Pathway sets out core training programs and resources available for new and returning employees. Completion of the Integrity in the APS module is mandatory for all new APS employees</w:t>
      </w:r>
      <w:r w:rsidRPr="00C04CDC">
        <w:rPr>
          <w:rStyle w:val="Emphasis"/>
        </w:rPr>
        <w:t xml:space="preserve">. This module was </w:t>
      </w:r>
      <w:r w:rsidR="00984F40" w:rsidRPr="00C04CDC">
        <w:rPr>
          <w:rStyle w:val="Emphasis"/>
        </w:rPr>
        <w:t>updated</w:t>
      </w:r>
      <w:r w:rsidRPr="00C04CDC">
        <w:rPr>
          <w:rStyle w:val="Emphasis"/>
        </w:rPr>
        <w:t xml:space="preserve"> </w:t>
      </w:r>
      <w:r w:rsidR="00984F40" w:rsidRPr="00C04CDC">
        <w:rPr>
          <w:rStyle w:val="Emphasis"/>
        </w:rPr>
        <w:t>to include respectful behaviour in the workplace</w:t>
      </w:r>
      <w:r w:rsidR="00BA3F02" w:rsidRPr="00C04CDC">
        <w:rPr>
          <w:rStyle w:val="Emphasis"/>
        </w:rPr>
        <w:t xml:space="preserve"> and include </w:t>
      </w:r>
      <w:proofErr w:type="spellStart"/>
      <w:r w:rsidR="00984F40" w:rsidRPr="00C04CDC">
        <w:rPr>
          <w:rStyle w:val="Emphasis"/>
        </w:rPr>
        <w:t>Respect@Work</w:t>
      </w:r>
      <w:proofErr w:type="spellEnd"/>
      <w:r w:rsidR="00984F40" w:rsidRPr="00C04CDC">
        <w:rPr>
          <w:rStyle w:val="Emphasis"/>
        </w:rPr>
        <w:t xml:space="preserve"> resources. </w:t>
      </w:r>
      <w:r w:rsidR="00BA3F02" w:rsidRPr="00C04CDC">
        <w:rPr>
          <w:rStyle w:val="Emphasis"/>
        </w:rPr>
        <w:t xml:space="preserve">The </w:t>
      </w:r>
      <w:r w:rsidRPr="00C04CDC">
        <w:rPr>
          <w:rStyle w:val="Emphasis"/>
        </w:rPr>
        <w:t>APS Companion is a digital magazine and complementary resource to the Induction Pathway. The magazine has been updated to include sexual harassment context and resources.</w:t>
      </w:r>
      <w:bookmarkStart w:id="740" w:name="_Toc168329183"/>
      <w:bookmarkStart w:id="741" w:name="_Toc168322840"/>
      <w:bookmarkStart w:id="742" w:name="_Toc168387956"/>
      <w:bookmarkStart w:id="743" w:name="_Toc168405611"/>
      <w:bookmarkStart w:id="744" w:name="_Toc168408649"/>
      <w:bookmarkStart w:id="745" w:name="_Toc168411051"/>
      <w:bookmarkStart w:id="746" w:name="_Toc168405910"/>
      <w:bookmarkStart w:id="747" w:name="_Toc168473718"/>
      <w:bookmarkStart w:id="748" w:name="_Toc168471616"/>
      <w:bookmarkStart w:id="749" w:name="_Toc168484676"/>
      <w:bookmarkStart w:id="750" w:name="_Toc168495144"/>
      <w:bookmarkStart w:id="751" w:name="_Toc168495593"/>
      <w:bookmarkStart w:id="752" w:name="_Toc169103261"/>
      <w:bookmarkStart w:id="753" w:name="_Toc169104735"/>
      <w:bookmarkStart w:id="754" w:name="_Toc169278451"/>
      <w:bookmarkStart w:id="755" w:name="_Toc169536890"/>
      <w:bookmarkStart w:id="756" w:name="_Toc169708639"/>
      <w:bookmarkStart w:id="757" w:name="_Toc170119683"/>
      <w:bookmarkStart w:id="758" w:name="_Toc170138066"/>
      <w:bookmarkStart w:id="759" w:name="_Toc170140139"/>
      <w:bookmarkStart w:id="760" w:name="_Toc165991664"/>
      <w:bookmarkStart w:id="761" w:name="_Toc166082962"/>
      <w:bookmarkStart w:id="762" w:name="_Toc166160326"/>
      <w:bookmarkStart w:id="763" w:name="_Toc166168025"/>
    </w:p>
    <w:p w14:paraId="7DAD1EE4" w14:textId="4A189CB5" w:rsidR="005034D7" w:rsidRDefault="005034D7" w:rsidP="00A12D90">
      <w:pPr>
        <w:pStyle w:val="Heading2"/>
      </w:pPr>
      <w:bookmarkStart w:id="764" w:name="_Toc181715730"/>
      <w:r>
        <w:t>Prevention of sexual harassment</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4"/>
    </w:p>
    <w:p w14:paraId="2767ECC7" w14:textId="1D47BE81" w:rsidR="006200E2" w:rsidRDefault="00C941D5" w:rsidP="005034D7">
      <w:pPr>
        <w:pStyle w:val="Heading3"/>
      </w:pPr>
      <w:bookmarkStart w:id="765" w:name="_Toc168329184"/>
      <w:bookmarkStart w:id="766" w:name="_Toc168322841"/>
      <w:bookmarkStart w:id="767" w:name="_Toc168387957"/>
      <w:bookmarkStart w:id="768" w:name="_Toc168405612"/>
      <w:bookmarkStart w:id="769" w:name="_Toc168408650"/>
      <w:bookmarkStart w:id="770" w:name="_Toc168411052"/>
      <w:bookmarkStart w:id="771" w:name="_Toc168405911"/>
      <w:bookmarkStart w:id="772" w:name="_Toc168473719"/>
      <w:bookmarkStart w:id="773" w:name="_Toc168471617"/>
      <w:bookmarkStart w:id="774" w:name="_Toc168484677"/>
      <w:bookmarkStart w:id="775" w:name="_Toc168495145"/>
      <w:bookmarkStart w:id="776" w:name="_Toc168495594"/>
      <w:bookmarkStart w:id="777" w:name="_Toc169103262"/>
      <w:bookmarkStart w:id="778" w:name="_Toc169104736"/>
      <w:bookmarkStart w:id="779" w:name="_Toc169278452"/>
      <w:bookmarkStart w:id="780" w:name="_Toc169536891"/>
      <w:bookmarkStart w:id="781" w:name="_Toc169708640"/>
      <w:bookmarkStart w:id="782" w:name="_Toc170119684"/>
      <w:bookmarkStart w:id="783" w:name="_Toc170138067"/>
      <w:bookmarkStart w:id="784" w:name="_Toc170140140"/>
      <w:proofErr w:type="spellStart"/>
      <w:r>
        <w:t>Respect@</w:t>
      </w:r>
      <w:r w:rsidR="00381675">
        <w:t>W</w:t>
      </w:r>
      <w:r>
        <w:t>ork</w:t>
      </w:r>
      <w:proofErr w:type="spellEnd"/>
      <w:r w:rsidR="006200E2">
        <w:t xml:space="preserve"> positive duty</w:t>
      </w:r>
      <w:r w:rsidR="005E699F">
        <w:t xml:space="preserve"> to eliminate</w:t>
      </w:r>
      <w:r w:rsidR="00DE1502">
        <w:t xml:space="preserve"> sexual harassment</w:t>
      </w:r>
      <w:bookmarkEnd w:id="760"/>
      <w:bookmarkEnd w:id="761"/>
      <w:bookmarkEnd w:id="762"/>
      <w:bookmarkEnd w:id="763"/>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5E46A931" w14:textId="72020676" w:rsidR="00EF665C" w:rsidRDefault="00FC6F9C" w:rsidP="00351505">
      <w:r>
        <w:t xml:space="preserve">The </w:t>
      </w:r>
      <w:hyperlink r:id="rId44" w:history="1">
        <w:proofErr w:type="spellStart"/>
        <w:r w:rsidRPr="006B48C9">
          <w:rPr>
            <w:rStyle w:val="Hyperlink"/>
          </w:rPr>
          <w:t>Respect@Work</w:t>
        </w:r>
        <w:proofErr w:type="spellEnd"/>
        <w:r w:rsidRPr="006B48C9">
          <w:rPr>
            <w:rStyle w:val="Hyperlink"/>
          </w:rPr>
          <w:t xml:space="preserve"> National Inquiry</w:t>
        </w:r>
      </w:hyperlink>
      <w:r>
        <w:t xml:space="preserve"> into Sexual Harassment in Australian Workplaces made a key recommendation that</w:t>
      </w:r>
      <w:r w:rsidR="00EF665C">
        <w:t xml:space="preserve"> all workplaces will need to proactively take reasonable and proportionate measures to eli</w:t>
      </w:r>
      <w:r w:rsidR="00BB74E5">
        <w:t>minate</w:t>
      </w:r>
      <w:r w:rsidR="00EF665C">
        <w:t xml:space="preserve"> sexual harassment. A new positive duty</w:t>
      </w:r>
      <w:r w:rsidR="00010FBD">
        <w:t xml:space="preserve"> came into effect on 13 December 2022 under the </w:t>
      </w:r>
      <w:r w:rsidR="00010FBD" w:rsidRPr="00381675">
        <w:rPr>
          <w:i/>
        </w:rPr>
        <w:t>Sex Discrimination Act 1984 (</w:t>
      </w:r>
      <w:proofErr w:type="spellStart"/>
      <w:r w:rsidR="00010FBD" w:rsidRPr="00381675">
        <w:rPr>
          <w:i/>
        </w:rPr>
        <w:t>Cth</w:t>
      </w:r>
      <w:proofErr w:type="spellEnd"/>
      <w:r w:rsidR="00010FBD" w:rsidRPr="00381675">
        <w:rPr>
          <w:i/>
        </w:rPr>
        <w:t>)</w:t>
      </w:r>
      <w:r w:rsidR="00010FBD">
        <w:t>, to eliminate</w:t>
      </w:r>
      <w:r w:rsidR="00BB74E5">
        <w:t xml:space="preserve"> as far as possible</w:t>
      </w:r>
      <w:r w:rsidR="00EF665C">
        <w:t>:</w:t>
      </w:r>
      <w:r w:rsidR="00BB74E5">
        <w:t xml:space="preserve"> </w:t>
      </w:r>
    </w:p>
    <w:p w14:paraId="3C18FD6A" w14:textId="77777777" w:rsidR="00EF665C" w:rsidRPr="00EE0A08" w:rsidRDefault="00BB74E5" w:rsidP="00F9645E">
      <w:pPr>
        <w:pStyle w:val="ListParagraph"/>
        <w:numPr>
          <w:ilvl w:val="0"/>
          <w:numId w:val="9"/>
        </w:numPr>
      </w:pPr>
      <w:r w:rsidRPr="00EE0A08">
        <w:t>discri</w:t>
      </w:r>
      <w:r w:rsidR="00EF665C" w:rsidRPr="00EE0A08">
        <w:t>mination on the grounds of sex in a work context</w:t>
      </w:r>
    </w:p>
    <w:p w14:paraId="190DCC40" w14:textId="77777777" w:rsidR="00EF665C" w:rsidRPr="00EE0A08" w:rsidRDefault="00BB74E5" w:rsidP="00F9645E">
      <w:pPr>
        <w:pStyle w:val="ListParagraph"/>
        <w:numPr>
          <w:ilvl w:val="0"/>
          <w:numId w:val="9"/>
        </w:numPr>
      </w:pPr>
      <w:r w:rsidRPr="00EE0A08">
        <w:t>sexual harassment</w:t>
      </w:r>
      <w:r w:rsidR="00EF665C" w:rsidRPr="00EE0A08">
        <w:t xml:space="preserve"> in connection with work</w:t>
      </w:r>
    </w:p>
    <w:p w14:paraId="43620BC2" w14:textId="77777777" w:rsidR="00EF665C" w:rsidRPr="00EE0A08" w:rsidRDefault="00BB74E5" w:rsidP="00F9645E">
      <w:pPr>
        <w:pStyle w:val="ListParagraph"/>
        <w:numPr>
          <w:ilvl w:val="0"/>
          <w:numId w:val="9"/>
        </w:numPr>
      </w:pPr>
      <w:r w:rsidRPr="00EE0A08">
        <w:t>sex</w:t>
      </w:r>
      <w:r w:rsidR="00EF665C" w:rsidRPr="00EE0A08">
        <w:t>-</w:t>
      </w:r>
      <w:r w:rsidRPr="00EE0A08">
        <w:t>based harassment in the work context</w:t>
      </w:r>
    </w:p>
    <w:p w14:paraId="1F5C808D" w14:textId="77777777" w:rsidR="00EF665C" w:rsidRPr="00EE0A08" w:rsidRDefault="00EF665C" w:rsidP="00F9645E">
      <w:pPr>
        <w:pStyle w:val="ListParagraph"/>
        <w:numPr>
          <w:ilvl w:val="0"/>
          <w:numId w:val="9"/>
        </w:numPr>
      </w:pPr>
      <w:r w:rsidRPr="00EE0A08">
        <w:t>conduct creating a workplace environment that is hostile on the grounds of sex</w:t>
      </w:r>
    </w:p>
    <w:p w14:paraId="0A2FA1BA" w14:textId="33EA5AC6" w:rsidR="00EF665C" w:rsidRPr="00EE0A08" w:rsidRDefault="00EF665C" w:rsidP="00F9645E">
      <w:pPr>
        <w:pStyle w:val="ListParagraph"/>
        <w:numPr>
          <w:ilvl w:val="0"/>
          <w:numId w:val="9"/>
        </w:numPr>
      </w:pPr>
      <w:proofErr w:type="gramStart"/>
      <w:r w:rsidRPr="00EE0A08">
        <w:t>related</w:t>
      </w:r>
      <w:proofErr w:type="gramEnd"/>
      <w:r w:rsidRPr="00EE0A08">
        <w:t xml:space="preserve"> acts of victimisation</w:t>
      </w:r>
      <w:r w:rsidR="00010FBD" w:rsidRPr="00EE0A08">
        <w:t>.</w:t>
      </w:r>
    </w:p>
    <w:p w14:paraId="39994BDC" w14:textId="4AD58F30" w:rsidR="00CC2AB0" w:rsidRDefault="00BB74E5" w:rsidP="00351505">
      <w:r>
        <w:t xml:space="preserve">The positive duty imposes a legal obligation on </w:t>
      </w:r>
      <w:r w:rsidR="00740625">
        <w:t>employers</w:t>
      </w:r>
      <w:r>
        <w:t xml:space="preserve"> to take proactive action to prevent such behaviours from occurring in the w</w:t>
      </w:r>
      <w:r w:rsidR="00740625">
        <w:t>orkplace. This requires employers</w:t>
      </w:r>
      <w:r>
        <w:t xml:space="preserve"> to focus on prevention</w:t>
      </w:r>
      <w:r w:rsidR="00FC6F9C">
        <w:t xml:space="preserve"> and</w:t>
      </w:r>
      <w:r>
        <w:t xml:space="preserve"> not only their response after the behaviours occur. The </w:t>
      </w:r>
      <w:r w:rsidR="002108E1">
        <w:t>AHRC</w:t>
      </w:r>
      <w:r>
        <w:t xml:space="preserve"> </w:t>
      </w:r>
      <w:r w:rsidR="00FC6F9C">
        <w:t xml:space="preserve">will monitor agency performance and </w:t>
      </w:r>
      <w:r w:rsidR="00617576">
        <w:t>h</w:t>
      </w:r>
      <w:r w:rsidR="00804584">
        <w:t xml:space="preserve">as </w:t>
      </w:r>
      <w:r>
        <w:t>powers to investigate and enforce compliance</w:t>
      </w:r>
      <w:r w:rsidR="00FC6F9C">
        <w:t xml:space="preserve"> with the positive duty.</w:t>
      </w:r>
      <w:r w:rsidR="00CC2AB0">
        <w:t xml:space="preserve"> </w:t>
      </w:r>
      <w:r w:rsidR="00FB47F0">
        <w:t>The APSC</w:t>
      </w:r>
      <w:r w:rsidR="002108E1">
        <w:t>, AHRC</w:t>
      </w:r>
      <w:r w:rsidR="00CD6F9B">
        <w:t>,</w:t>
      </w:r>
      <w:r w:rsidR="002108E1">
        <w:t xml:space="preserve"> and </w:t>
      </w:r>
      <w:proofErr w:type="spellStart"/>
      <w:r w:rsidR="002108E1">
        <w:t>Comcare</w:t>
      </w:r>
      <w:proofErr w:type="spellEnd"/>
      <w:r w:rsidR="002108E1">
        <w:t xml:space="preserve"> have</w:t>
      </w:r>
      <w:r w:rsidR="0056660A">
        <w:t xml:space="preserve"> promoted</w:t>
      </w:r>
      <w:r w:rsidR="00FB47F0">
        <w:t xml:space="preserve"> awareness of the new provisions</w:t>
      </w:r>
      <w:r w:rsidR="00CC2AB0">
        <w:t xml:space="preserve">, including producing a </w:t>
      </w:r>
      <w:hyperlink r:id="rId45" w:anchor="positive-duty-changes-from-12-december-2023" w:history="1">
        <w:r w:rsidR="00CC2AB0" w:rsidRPr="00122B16">
          <w:rPr>
            <w:rStyle w:val="Hyperlink"/>
          </w:rPr>
          <w:t>video message</w:t>
        </w:r>
      </w:hyperlink>
      <w:r w:rsidR="00CC2AB0">
        <w:t xml:space="preserve"> from the current Sex Discrimination Commissioner, Dr Anna Cody</w:t>
      </w:r>
      <w:r w:rsidR="002108E1">
        <w:t>.</w:t>
      </w:r>
    </w:p>
    <w:p w14:paraId="392EB25C" w14:textId="5E41CE68" w:rsidR="002C29F7" w:rsidRDefault="00FB47F0" w:rsidP="00FD4A7F">
      <w:r>
        <w:t xml:space="preserve">The APSC </w:t>
      </w:r>
      <w:r w:rsidR="00F5748C">
        <w:t xml:space="preserve">has </w:t>
      </w:r>
      <w:r w:rsidR="00CC2AB0">
        <w:t xml:space="preserve">additionally </w:t>
      </w:r>
      <w:r w:rsidR="00F5748C">
        <w:t xml:space="preserve">developed a </w:t>
      </w:r>
      <w:hyperlink r:id="rId46" w:anchor="positive-duty-changes-from-12-december-2023" w:history="1">
        <w:r w:rsidRPr="006B48C9">
          <w:rPr>
            <w:rStyle w:val="Hyperlink"/>
          </w:rPr>
          <w:t>web</w:t>
        </w:r>
        <w:r w:rsidR="00F5748C" w:rsidRPr="006B48C9">
          <w:rPr>
            <w:rStyle w:val="Hyperlink"/>
          </w:rPr>
          <w:t>page</w:t>
        </w:r>
      </w:hyperlink>
      <w:r w:rsidR="00DA3A2D">
        <w:t xml:space="preserve"> featuring extensive </w:t>
      </w:r>
      <w:r w:rsidR="005E699F">
        <w:t>information products</w:t>
      </w:r>
      <w:r w:rsidRPr="00FB47F0">
        <w:t xml:space="preserve"> on preventing and responding to sexual harassment in the AP</w:t>
      </w:r>
      <w:r w:rsidR="002108E1">
        <w:t>S – developed by the A</w:t>
      </w:r>
      <w:r w:rsidRPr="00FB47F0">
        <w:t xml:space="preserve">HRC, the </w:t>
      </w:r>
      <w:proofErr w:type="spellStart"/>
      <w:r w:rsidRPr="00FB47F0">
        <w:t>Resp</w:t>
      </w:r>
      <w:r w:rsidR="00F5748C">
        <w:t>ect@Work</w:t>
      </w:r>
      <w:proofErr w:type="spellEnd"/>
      <w:r w:rsidR="00F5748C">
        <w:t xml:space="preserve"> Council, </w:t>
      </w:r>
      <w:proofErr w:type="spellStart"/>
      <w:r>
        <w:t>Comcare</w:t>
      </w:r>
      <w:proofErr w:type="spellEnd"/>
      <w:r w:rsidR="00C94D58">
        <w:t>,</w:t>
      </w:r>
      <w:r w:rsidR="00F5748C">
        <w:t xml:space="preserve"> and more</w:t>
      </w:r>
      <w:r w:rsidR="002C29F7">
        <w:t>.</w:t>
      </w:r>
      <w:r w:rsidR="00804605">
        <w:t xml:space="preserve"> </w:t>
      </w:r>
      <w:r w:rsidR="00EC0F94">
        <w:t>T</w:t>
      </w:r>
      <w:r w:rsidR="00EC0F94" w:rsidRPr="00FB47F0">
        <w:t>he</w:t>
      </w:r>
      <w:r w:rsidR="00C94D58">
        <w:t>se</w:t>
      </w:r>
      <w:r w:rsidR="00EC0F94" w:rsidRPr="00FB47F0">
        <w:t xml:space="preserve"> resources </w:t>
      </w:r>
      <w:r w:rsidR="00EC0F94">
        <w:t xml:space="preserve">can be used by </w:t>
      </w:r>
      <w:r w:rsidR="00EC0F94" w:rsidRPr="00FB47F0">
        <w:t xml:space="preserve">agencies </w:t>
      </w:r>
      <w:r w:rsidR="00EC0F94">
        <w:t xml:space="preserve">to </w:t>
      </w:r>
      <w:r w:rsidR="00EC0F94" w:rsidRPr="00FB47F0">
        <w:t xml:space="preserve">apply these </w:t>
      </w:r>
      <w:r w:rsidR="00EC0F94" w:rsidRPr="00AB2CC5">
        <w:t>frameworks</w:t>
      </w:r>
      <w:r w:rsidR="00EC0F94">
        <w:t xml:space="preserve"> and guidance</w:t>
      </w:r>
      <w:r w:rsidR="00EC0F94" w:rsidRPr="00FB47F0">
        <w:t xml:space="preserve"> to their particular circumstances</w:t>
      </w:r>
      <w:r w:rsidR="00CC2AB0">
        <w:t>, and may be</w:t>
      </w:r>
      <w:r w:rsidR="00EC0F94">
        <w:t xml:space="preserve"> useful in </w:t>
      </w:r>
      <w:r w:rsidR="00F75269">
        <w:t>generating</w:t>
      </w:r>
      <w:r w:rsidR="00EC0F94">
        <w:t xml:space="preserve"> ideas on the prevention of the other unacceptable behaviours needing to be addressed under the Strategy</w:t>
      </w:r>
      <w:r w:rsidR="003C750D">
        <w:t>.</w:t>
      </w:r>
    </w:p>
    <w:p w14:paraId="04B9D837" w14:textId="71BA4F3B" w:rsidR="002C29F7" w:rsidRPr="00FD4A7F" w:rsidRDefault="002C29F7" w:rsidP="002C29F7">
      <w:r>
        <w:t>This year</w:t>
      </w:r>
      <w:r w:rsidRPr="00FD4A7F">
        <w:t xml:space="preserve"> the APSC release</w:t>
      </w:r>
      <w:r>
        <w:t>d the following resources</w:t>
      </w:r>
      <w:r w:rsidRPr="00FD4A7F">
        <w:t xml:space="preserve"> designed </w:t>
      </w:r>
      <w:r>
        <w:t>for use</w:t>
      </w:r>
      <w:r w:rsidRPr="00FD4A7F">
        <w:t xml:space="preserve"> by APS Human Resources, Work Health &amp; Safety</w:t>
      </w:r>
      <w:r>
        <w:t>,</w:t>
      </w:r>
      <w:r w:rsidRPr="00FD4A7F">
        <w:t xml:space="preserve"> and Diversity and Inclusion practitioner</w:t>
      </w:r>
      <w:r>
        <w:t>s:</w:t>
      </w:r>
    </w:p>
    <w:p w14:paraId="68A87465" w14:textId="0BCB4CCB" w:rsidR="002C29F7" w:rsidRDefault="002C29F7" w:rsidP="00F9645E">
      <w:pPr>
        <w:pStyle w:val="ListParagraph"/>
        <w:numPr>
          <w:ilvl w:val="0"/>
          <w:numId w:val="49"/>
        </w:numPr>
      </w:pPr>
      <w:r w:rsidRPr="00645B82">
        <w:rPr>
          <w:i/>
        </w:rPr>
        <w:lastRenderedPageBreak/>
        <w:t>APS Model Policy for the Prevention of Workplace Sexual Harassment and related unlawful conduct</w:t>
      </w:r>
    </w:p>
    <w:p w14:paraId="21862C4C" w14:textId="061C8AB4" w:rsidR="002C29F7" w:rsidRPr="00FD4A7F" w:rsidRDefault="002C29F7" w:rsidP="00F9645E">
      <w:pPr>
        <w:pStyle w:val="ListParagraph"/>
        <w:numPr>
          <w:ilvl w:val="0"/>
          <w:numId w:val="49"/>
        </w:numPr>
      </w:pPr>
      <w:r>
        <w:t>f</w:t>
      </w:r>
      <w:r w:rsidRPr="00FD4A7F">
        <w:t xml:space="preserve">act </w:t>
      </w:r>
      <w:r>
        <w:t>s</w:t>
      </w:r>
      <w:r w:rsidRPr="00FD4A7F">
        <w:t>heet</w:t>
      </w:r>
      <w:r>
        <w:t xml:space="preserve"> on</w:t>
      </w:r>
      <w:r w:rsidRPr="00FD4A7F">
        <w:t xml:space="preserve"> APS risk assessments for preventing and responding to workplace sexual harassment, sex discrimination, victimisation and related unlawful behaviours</w:t>
      </w:r>
    </w:p>
    <w:p w14:paraId="335E1EC6" w14:textId="1F32E382" w:rsidR="002C29F7" w:rsidRPr="00FD4A7F" w:rsidRDefault="002C29F7" w:rsidP="00F9645E">
      <w:pPr>
        <w:pStyle w:val="ListParagraph"/>
        <w:numPr>
          <w:ilvl w:val="0"/>
          <w:numId w:val="49"/>
        </w:numPr>
      </w:pPr>
      <w:r>
        <w:t>APS Example Risk Register on p</w:t>
      </w:r>
      <w:r w:rsidRPr="00FD4A7F">
        <w:t xml:space="preserve">reventing and responding to workplace sexual harassment, sex discrimination, victimisation and related unlawful behaviours. </w:t>
      </w:r>
    </w:p>
    <w:p w14:paraId="457B1E5F" w14:textId="43002FC7" w:rsidR="002C29F7" w:rsidRDefault="002C29F7" w:rsidP="00FD4A7F">
      <w:r>
        <w:t xml:space="preserve">These resources </w:t>
      </w:r>
      <w:r w:rsidRPr="00FD4A7F">
        <w:t>are ava</w:t>
      </w:r>
      <w:r w:rsidR="009A6292">
        <w:t xml:space="preserve">ilable on the APSC’s </w:t>
      </w:r>
      <w:proofErr w:type="spellStart"/>
      <w:r w:rsidR="009A6292">
        <w:t>GovTEAMS</w:t>
      </w:r>
      <w:proofErr w:type="spellEnd"/>
      <w:r w:rsidR="009A6292">
        <w:t xml:space="preserve"> Diversity and Inclusion</w:t>
      </w:r>
      <w:r>
        <w:t xml:space="preserve"> Discussion Forum; access </w:t>
      </w:r>
      <w:r w:rsidRPr="00FD4A7F">
        <w:t xml:space="preserve">can be requested via email to the APSC’s Inclusion Policy team at </w:t>
      </w:r>
      <w:hyperlink r:id="rId47" w:history="1">
        <w:r w:rsidRPr="000D057E">
          <w:rPr>
            <w:rStyle w:val="Hyperlink"/>
          </w:rPr>
          <w:t>diversity@apsc.gov.au</w:t>
        </w:r>
      </w:hyperlink>
      <w:r w:rsidRPr="000D057E">
        <w:rPr>
          <w:color w:val="1F497D"/>
        </w:rPr>
        <w:t>.</w:t>
      </w:r>
    </w:p>
    <w:p w14:paraId="204409FA" w14:textId="6D8F040A" w:rsidR="002C29F7" w:rsidRPr="002C29F7" w:rsidRDefault="002C29F7" w:rsidP="00FD4A7F">
      <w:pPr>
        <w:rPr>
          <w:rFonts w:eastAsia="Times New Roman" w:cstheme="minorHAnsi"/>
          <w:szCs w:val="20"/>
        </w:rPr>
      </w:pPr>
      <w:r w:rsidRPr="008717FA">
        <w:rPr>
          <w:rFonts w:eastAsia="Times New Roman" w:cstheme="minorHAnsi"/>
          <w:szCs w:val="20"/>
        </w:rPr>
        <w:t xml:space="preserve">In March 2024 the </w:t>
      </w:r>
      <w:r w:rsidRPr="009B643C">
        <w:t>Commission</w:t>
      </w:r>
      <w:r w:rsidRPr="008717FA">
        <w:rPr>
          <w:rFonts w:eastAsia="Times New Roman" w:cstheme="minorHAnsi"/>
          <w:szCs w:val="20"/>
        </w:rPr>
        <w:t xml:space="preserve"> </w:t>
      </w:r>
      <w:r>
        <w:rPr>
          <w:rFonts w:eastAsia="Times New Roman" w:cstheme="minorHAnsi"/>
          <w:szCs w:val="20"/>
        </w:rPr>
        <w:t xml:space="preserve">also </w:t>
      </w:r>
      <w:r w:rsidRPr="008717FA">
        <w:rPr>
          <w:rFonts w:eastAsia="Times New Roman" w:cstheme="minorHAnsi"/>
          <w:szCs w:val="20"/>
        </w:rPr>
        <w:t xml:space="preserve">launched </w:t>
      </w:r>
      <w:r w:rsidRPr="0041253C">
        <w:rPr>
          <w:rFonts w:eastAsia="Times New Roman" w:cstheme="minorHAnsi"/>
          <w:i/>
          <w:szCs w:val="20"/>
        </w:rPr>
        <w:t>ADDRESS: An APS model for responding to psychosocial hazards</w:t>
      </w:r>
      <w:r w:rsidRPr="008717FA">
        <w:rPr>
          <w:rFonts w:eastAsia="Times New Roman" w:cstheme="minorHAnsi"/>
          <w:szCs w:val="20"/>
        </w:rPr>
        <w:t xml:space="preserve">, a first-of-its-kind model to support APS agencies by providing tools to identify and respond to psychosocial hazards in the workplace. ADDRESS supports </w:t>
      </w:r>
      <w:r>
        <w:rPr>
          <w:rFonts w:eastAsia="Times New Roman" w:cstheme="minorHAnsi"/>
          <w:szCs w:val="20"/>
        </w:rPr>
        <w:t>the APS’</w:t>
      </w:r>
      <w:r w:rsidRPr="008717FA">
        <w:rPr>
          <w:rFonts w:eastAsia="Times New Roman" w:cstheme="minorHAnsi"/>
          <w:szCs w:val="20"/>
        </w:rPr>
        <w:t xml:space="preserve"> commitment to risk mitigation and the recently released </w:t>
      </w:r>
      <w:proofErr w:type="spellStart"/>
      <w:r w:rsidRPr="0041253C">
        <w:rPr>
          <w:rFonts w:eastAsia="Times New Roman" w:cstheme="minorHAnsi"/>
          <w:i/>
          <w:szCs w:val="20"/>
        </w:rPr>
        <w:t>SafeWork</w:t>
      </w:r>
      <w:proofErr w:type="spellEnd"/>
      <w:r w:rsidRPr="0041253C">
        <w:rPr>
          <w:rFonts w:eastAsia="Times New Roman" w:cstheme="minorHAnsi"/>
          <w:i/>
          <w:szCs w:val="20"/>
        </w:rPr>
        <w:t xml:space="preserve"> Australia Model Code of Practice: Sexual and gender-based harassment</w:t>
      </w:r>
      <w:r>
        <w:rPr>
          <w:rFonts w:eastAsia="Times New Roman" w:cstheme="minorHAnsi"/>
          <w:szCs w:val="20"/>
        </w:rPr>
        <w:t>.</w:t>
      </w:r>
    </w:p>
    <w:p w14:paraId="08E29A1D" w14:textId="30D06884" w:rsidR="00EF0750" w:rsidRPr="00C04CDC" w:rsidRDefault="00804605" w:rsidP="003A5F45">
      <w:pPr>
        <w:ind w:left="720"/>
        <w:rPr>
          <w:rStyle w:val="Emphasis"/>
        </w:rPr>
      </w:pPr>
      <w:proofErr w:type="spellStart"/>
      <w:r w:rsidRPr="00C04CDC">
        <w:rPr>
          <w:rStyle w:val="Emphasis"/>
        </w:rPr>
        <w:t>Comcare</w:t>
      </w:r>
      <w:proofErr w:type="spellEnd"/>
      <w:r w:rsidRPr="00C04CDC">
        <w:rPr>
          <w:rStyle w:val="Emphasis"/>
        </w:rPr>
        <w:t xml:space="preserve"> continues to update their webpage ‘</w:t>
      </w:r>
      <w:hyperlink r:id="rId48" w:history="1">
        <w:r w:rsidR="0096507A" w:rsidRPr="0096507A">
          <w:rPr>
            <w:rStyle w:val="Hyperlink"/>
            <w:sz w:val="26"/>
          </w:rPr>
          <w:t>Harassment including sexual harassment</w:t>
        </w:r>
      </w:hyperlink>
      <w:r w:rsidRPr="00C04CDC">
        <w:rPr>
          <w:rStyle w:val="Emphasis"/>
        </w:rPr>
        <w:t>’ as new products are available. This includes a practical guide to help employers navigate the multiple referral pathways and to assist them to manage incidents of workplace sexual harassment - ‘</w:t>
      </w:r>
      <w:hyperlink r:id="rId49" w:history="1">
        <w:r w:rsidR="0015320B" w:rsidRPr="0015320B">
          <w:rPr>
            <w:rStyle w:val="Hyperlink"/>
            <w:sz w:val="26"/>
          </w:rPr>
          <w:t>Referral pathways for sexual harassment in the workplace</w:t>
        </w:r>
      </w:hyperlink>
      <w:r w:rsidRPr="00C04CDC">
        <w:rPr>
          <w:rStyle w:val="Emphasis"/>
        </w:rPr>
        <w:t>’</w:t>
      </w:r>
      <w:r w:rsidR="00DD0B12" w:rsidRPr="00C04CDC">
        <w:rPr>
          <w:rStyle w:val="Emphasis"/>
        </w:rPr>
        <w:t>.</w:t>
      </w:r>
      <w:bookmarkStart w:id="785" w:name="_Toc168329185"/>
      <w:bookmarkStart w:id="786" w:name="_Toc168322842"/>
      <w:bookmarkStart w:id="787" w:name="_Toc168387958"/>
      <w:bookmarkStart w:id="788" w:name="_Toc168405613"/>
      <w:bookmarkStart w:id="789" w:name="_Toc168408651"/>
      <w:bookmarkStart w:id="790" w:name="_Toc168411053"/>
      <w:bookmarkStart w:id="791" w:name="_Toc168405912"/>
      <w:bookmarkStart w:id="792" w:name="_Toc168473720"/>
      <w:bookmarkStart w:id="793" w:name="_Toc168471618"/>
      <w:bookmarkStart w:id="794" w:name="_Toc168484678"/>
      <w:bookmarkStart w:id="795" w:name="_Toc168495146"/>
      <w:bookmarkStart w:id="796" w:name="_Toc168495595"/>
      <w:bookmarkStart w:id="797" w:name="_Toc169103263"/>
      <w:bookmarkStart w:id="798" w:name="_Toc169104737"/>
      <w:bookmarkStart w:id="799" w:name="_Toc169278453"/>
      <w:bookmarkStart w:id="800" w:name="_Toc169536892"/>
      <w:bookmarkStart w:id="801" w:name="_Toc169708641"/>
      <w:bookmarkStart w:id="802" w:name="_Toc170119685"/>
      <w:bookmarkStart w:id="803" w:name="_Toc170138068"/>
      <w:bookmarkStart w:id="804" w:name="_Toc170140141"/>
    </w:p>
    <w:p w14:paraId="4D5EDBCF" w14:textId="75117CC3" w:rsidR="00FD4A7F" w:rsidRDefault="004F0437" w:rsidP="0062206C">
      <w:pPr>
        <w:pStyle w:val="Heading2"/>
      </w:pPr>
      <w:bookmarkStart w:id="805" w:name="_Toc181715731"/>
      <w:r>
        <w:t xml:space="preserve">Legislative support for </w:t>
      </w:r>
      <w:r w:rsidR="000D0AC7">
        <w:t>preventing sexual harassment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2D094BC3" w14:textId="696A4395" w:rsidR="00351505" w:rsidRDefault="00351505" w:rsidP="0062206C">
      <w:pPr>
        <w:pStyle w:val="Heading3"/>
      </w:pPr>
      <w:bookmarkStart w:id="806" w:name="_Toc165991665"/>
      <w:bookmarkStart w:id="807" w:name="_Toc166082963"/>
      <w:bookmarkStart w:id="808" w:name="_Toc166160327"/>
      <w:bookmarkStart w:id="809" w:name="_Toc166168026"/>
      <w:bookmarkStart w:id="810" w:name="_Toc168329186"/>
      <w:bookmarkStart w:id="811" w:name="_Toc168322843"/>
      <w:bookmarkStart w:id="812" w:name="_Toc168387959"/>
      <w:bookmarkStart w:id="813" w:name="_Toc168405614"/>
      <w:bookmarkStart w:id="814" w:name="_Toc168408652"/>
      <w:bookmarkStart w:id="815" w:name="_Toc168411054"/>
      <w:bookmarkStart w:id="816" w:name="_Toc168405913"/>
      <w:bookmarkStart w:id="817" w:name="_Toc168473721"/>
      <w:bookmarkStart w:id="818" w:name="_Toc168471619"/>
      <w:bookmarkStart w:id="819" w:name="_Toc168484679"/>
      <w:bookmarkStart w:id="820" w:name="_Toc168495147"/>
      <w:bookmarkStart w:id="821" w:name="_Toc168495596"/>
      <w:bookmarkStart w:id="822" w:name="_Toc169103264"/>
      <w:bookmarkStart w:id="823" w:name="_Toc169104738"/>
      <w:bookmarkStart w:id="824" w:name="_Toc169278454"/>
      <w:bookmarkStart w:id="825" w:name="_Toc169536893"/>
      <w:bookmarkStart w:id="826" w:name="_Toc169708642"/>
      <w:bookmarkStart w:id="827" w:name="_Toc170119686"/>
      <w:bookmarkStart w:id="828" w:name="_Toc170138069"/>
      <w:bookmarkStart w:id="829" w:name="_Toc170140142"/>
      <w:r>
        <w:t>Support for family and domestic violence</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003A0B5C">
        <w:t xml:space="preserve"> (FDV)</w:t>
      </w:r>
    </w:p>
    <w:p w14:paraId="10844DF8" w14:textId="117E0972" w:rsidR="0088693F" w:rsidRDefault="00E20D8F" w:rsidP="00351505">
      <w:r>
        <w:t>F</w:t>
      </w:r>
      <w:r w:rsidR="003A0B5C">
        <w:t>DV</w:t>
      </w:r>
      <w:r>
        <w:t xml:space="preserve"> can affect any individual, but is </w:t>
      </w:r>
      <w:r w:rsidR="00623E48">
        <w:t xml:space="preserve">most </w:t>
      </w:r>
      <w:r>
        <w:t xml:space="preserve">often experienced by women. </w:t>
      </w:r>
      <w:r w:rsidR="00023375">
        <w:t xml:space="preserve">A step towards addressing this action is </w:t>
      </w:r>
      <w:r w:rsidR="00BA2819">
        <w:t xml:space="preserve">the inclusion of a </w:t>
      </w:r>
      <w:r w:rsidR="004B4110">
        <w:t>clause</w:t>
      </w:r>
      <w:r w:rsidR="00023375">
        <w:t xml:space="preserve"> in t</w:t>
      </w:r>
      <w:r w:rsidR="0088693F">
        <w:t>he Public Se</w:t>
      </w:r>
      <w:r w:rsidR="00814448">
        <w:t>ctor Workplace Relations Policy</w:t>
      </w:r>
      <w:r w:rsidR="00173795">
        <w:t xml:space="preserve"> 2023</w:t>
      </w:r>
      <w:r w:rsidR="00814448">
        <w:t xml:space="preserve">, </w:t>
      </w:r>
      <w:r w:rsidR="00AB35E9">
        <w:t>which</w:t>
      </w:r>
      <w:r w:rsidR="0088693F">
        <w:t xml:space="preserve"> </w:t>
      </w:r>
      <w:r w:rsidR="00AB35E9">
        <w:t>has specified that:</w:t>
      </w:r>
    </w:p>
    <w:p w14:paraId="190855A3" w14:textId="6BEBDE48" w:rsidR="0088693F" w:rsidRPr="00B22A63" w:rsidRDefault="0088693F" w:rsidP="00AB35E9">
      <w:pPr>
        <w:ind w:left="720"/>
        <w:rPr>
          <w:rStyle w:val="Emphasis"/>
        </w:rPr>
      </w:pPr>
      <w:r w:rsidRPr="00B22A63">
        <w:rPr>
          <w:rStyle w:val="Emphasis"/>
        </w:rPr>
        <w:t>Workplace arrangements are to incorporate family and domestic violence support. Agencies are encouraged to provide the maximum support available for employees affected by family and domestic violence, noting the privacy and safety of impacted employees is paramount.</w:t>
      </w:r>
    </w:p>
    <w:p w14:paraId="0E41614F" w14:textId="60815ECD" w:rsidR="00D83035" w:rsidRDefault="00202FC8" w:rsidP="00351505">
      <w:r>
        <w:t>To complement the policy</w:t>
      </w:r>
      <w:r w:rsidR="00BA2819">
        <w:t>,</w:t>
      </w:r>
      <w:r>
        <w:t xml:space="preserve"> </w:t>
      </w:r>
      <w:r w:rsidR="0088693F">
        <w:t xml:space="preserve">the </w:t>
      </w:r>
      <w:hyperlink r:id="rId50" w:history="1">
        <w:r w:rsidR="0088693F" w:rsidRPr="00202FC8">
          <w:rPr>
            <w:rStyle w:val="Hyperlink"/>
          </w:rPr>
          <w:t>APSC Family and Domestic Violence Policy Framework</w:t>
        </w:r>
      </w:hyperlink>
      <w:r w:rsidR="0088693F">
        <w:t xml:space="preserve"> </w:t>
      </w:r>
      <w:r>
        <w:t xml:space="preserve">and </w:t>
      </w:r>
      <w:hyperlink r:id="rId51" w:history="1">
        <w:r w:rsidRPr="00202FC8">
          <w:rPr>
            <w:rStyle w:val="Hyperlink"/>
          </w:rPr>
          <w:t>FDV support webpage</w:t>
        </w:r>
      </w:hyperlink>
      <w:r>
        <w:t xml:space="preserve"> </w:t>
      </w:r>
      <w:r w:rsidR="0088693F">
        <w:t>assist</w:t>
      </w:r>
      <w:r w:rsidR="00D83035">
        <w:t>s</w:t>
      </w:r>
      <w:r w:rsidR="0088693F">
        <w:t xml:space="preserve"> agencies to develop their own policies on </w:t>
      </w:r>
      <w:r w:rsidR="003A0B5C">
        <w:t>FDV</w:t>
      </w:r>
      <w:r w:rsidR="0088693F">
        <w:t>.</w:t>
      </w:r>
      <w:r>
        <w:t xml:space="preserve"> This also advises how agencies can provide maximum support to victims</w:t>
      </w:r>
      <w:r w:rsidR="00814448">
        <w:t xml:space="preserve"> and refers training to managers</w:t>
      </w:r>
      <w:r>
        <w:t>.</w:t>
      </w:r>
      <w:r w:rsidR="007E0D4D">
        <w:t xml:space="preserve"> </w:t>
      </w:r>
    </w:p>
    <w:p w14:paraId="6B65259E" w14:textId="29BE521F" w:rsidR="00816F73" w:rsidRDefault="00816F73" w:rsidP="00351505">
      <w:r>
        <w:t xml:space="preserve">Agency </w:t>
      </w:r>
      <w:r w:rsidR="00081600">
        <w:t>APS</w:t>
      </w:r>
      <w:r w:rsidR="001A323A">
        <w:t>-</w:t>
      </w:r>
      <w:r w:rsidR="00081600">
        <w:t xml:space="preserve">wide </w:t>
      </w:r>
      <w:r>
        <w:t>bargaining has also</w:t>
      </w:r>
      <w:r w:rsidR="00081600">
        <w:t xml:space="preserve"> implemented a common approach to employees facing </w:t>
      </w:r>
      <w:r w:rsidR="003A0B5C">
        <w:t>FDV</w:t>
      </w:r>
      <w:r w:rsidR="00081600">
        <w:t xml:space="preserve"> that considers the needs </w:t>
      </w:r>
      <w:r w:rsidR="001F1590">
        <w:t>and</w:t>
      </w:r>
      <w:r w:rsidR="00081600">
        <w:t xml:space="preserve"> individual</w:t>
      </w:r>
      <w:r w:rsidR="001F1590">
        <w:t xml:space="preserve"> circumstances of the employee</w:t>
      </w:r>
      <w:r w:rsidR="00081600">
        <w:t>. This is a new entitlement for 85 agencies.</w:t>
      </w:r>
      <w:r>
        <w:t xml:space="preserve"> </w:t>
      </w:r>
    </w:p>
    <w:p w14:paraId="6E4D0E50" w14:textId="4351C712" w:rsidR="00BC53EA" w:rsidRDefault="00D83035" w:rsidP="006C66E6">
      <w:r>
        <w:rPr>
          <w:color w:val="auto"/>
        </w:rPr>
        <w:t>T</w:t>
      </w:r>
      <w:r w:rsidR="00116886">
        <w:rPr>
          <w:color w:val="auto"/>
        </w:rPr>
        <w:t>he GES S</w:t>
      </w:r>
      <w:r w:rsidR="002C29F7">
        <w:rPr>
          <w:color w:val="auto"/>
        </w:rPr>
        <w:t>urvey</w:t>
      </w:r>
      <w:r>
        <w:rPr>
          <w:color w:val="auto"/>
        </w:rPr>
        <w:t xml:space="preserve"> found</w:t>
      </w:r>
      <w:r w:rsidR="002C29F7">
        <w:rPr>
          <w:color w:val="auto"/>
        </w:rPr>
        <w:t xml:space="preserve"> that </w:t>
      </w:r>
      <w:r w:rsidR="008D544F">
        <w:t>84% of agencies had a family and gender based violence policy, strategy, action plan, and/or other activity in place or undertaken in 2024</w:t>
      </w:r>
      <w:r w:rsidR="002C29F7" w:rsidRPr="00960C62">
        <w:rPr>
          <w:color w:val="auto"/>
        </w:rPr>
        <w:t xml:space="preserve">. </w:t>
      </w:r>
      <w:r>
        <w:rPr>
          <w:color w:val="auto"/>
        </w:rPr>
        <w:t xml:space="preserve">This was an improvement on </w:t>
      </w:r>
      <w:r w:rsidR="002C29F7">
        <w:t>2021</w:t>
      </w:r>
      <w:r>
        <w:t xml:space="preserve"> where the APS Agency Survey showed</w:t>
      </w:r>
      <w:r w:rsidR="002C29F7">
        <w:t xml:space="preserve"> a total of 72% of agencies reported having a family and gender based violence policy, strategy, or other</w:t>
      </w:r>
      <w:r w:rsidR="002C29F7" w:rsidRPr="00256AF8">
        <w:t xml:space="preserve">. </w:t>
      </w:r>
      <w:r>
        <w:t>In contrast,</w:t>
      </w:r>
      <w:r w:rsidR="002C29F7">
        <w:t xml:space="preserve"> 16% of agencies did not have any guidance in place</w:t>
      </w:r>
      <w:r>
        <w:t xml:space="preserve"> in 2023</w:t>
      </w:r>
      <w:r w:rsidR="009F3057">
        <w:t>, with the majority of these being extra small and small agencies</w:t>
      </w:r>
      <w:r w:rsidR="00CD11C2">
        <w:t>.</w:t>
      </w:r>
      <w:r w:rsidR="002C29F7">
        <w:t xml:space="preserve"> It is </w:t>
      </w:r>
      <w:r w:rsidR="002C29F7">
        <w:lastRenderedPageBreak/>
        <w:t xml:space="preserve">recommended that these agencies work with the APSC or other similar agencies, such as those within their portfolio, to develop their own policy documentation on family and gender based </w:t>
      </w:r>
      <w:r w:rsidR="00BC53EA">
        <w:t xml:space="preserve">violence. </w:t>
      </w:r>
    </w:p>
    <w:p w14:paraId="6CC7B62C" w14:textId="4986FAF3" w:rsidR="00BC53EA" w:rsidRDefault="00BC53EA" w:rsidP="006C66E6">
      <w:r>
        <w:t xml:space="preserve">In the 2 years prior to the GES Survey, 57% of agencies offered training, information sessions or some other form of education on </w:t>
      </w:r>
      <w:r w:rsidR="003A0B5C">
        <w:t>FDV</w:t>
      </w:r>
      <w:r>
        <w:t xml:space="preserve">. This is much lower than the proportion of agencies that offered educational resources on workplace discrimination, bullying and sexual harassment. It is recommended that agencies work with the APSC or other similar agencies, such as those within their portfolio, to introduce educational offerings (examples are mentioned in </w:t>
      </w:r>
      <w:r w:rsidRPr="007E0D4D">
        <w:rPr>
          <w:i/>
        </w:rPr>
        <w:t>Educational resources available to agencies</w:t>
      </w:r>
      <w:r>
        <w:t xml:space="preserve"> above).</w:t>
      </w:r>
    </w:p>
    <w:p w14:paraId="5C0AA798" w14:textId="46CEC829" w:rsidR="00351505" w:rsidRDefault="00351505" w:rsidP="00351505">
      <w:pPr>
        <w:pStyle w:val="Heading2"/>
      </w:pPr>
      <w:bookmarkStart w:id="830" w:name="_Toc165991666"/>
      <w:bookmarkStart w:id="831" w:name="_Toc166082964"/>
      <w:bookmarkStart w:id="832" w:name="_Toc166160328"/>
      <w:bookmarkStart w:id="833" w:name="_Toc166168027"/>
      <w:bookmarkStart w:id="834" w:name="_Toc168329187"/>
      <w:bookmarkStart w:id="835" w:name="_Toc168322844"/>
      <w:bookmarkStart w:id="836" w:name="_Toc168387960"/>
      <w:bookmarkStart w:id="837" w:name="_Toc168405615"/>
      <w:bookmarkStart w:id="838" w:name="_Toc168408653"/>
      <w:bookmarkStart w:id="839" w:name="_Toc168411055"/>
      <w:bookmarkStart w:id="840" w:name="_Toc168405914"/>
      <w:bookmarkStart w:id="841" w:name="_Toc168473722"/>
      <w:bookmarkStart w:id="842" w:name="_Toc168471620"/>
      <w:bookmarkStart w:id="843" w:name="_Toc168484680"/>
      <w:bookmarkStart w:id="844" w:name="_Toc168495148"/>
      <w:bookmarkStart w:id="845" w:name="_Toc168495597"/>
      <w:bookmarkStart w:id="846" w:name="_Toc169103265"/>
      <w:bookmarkStart w:id="847" w:name="_Toc169104739"/>
      <w:bookmarkStart w:id="848" w:name="_Toc169278455"/>
      <w:bookmarkStart w:id="849" w:name="_Toc169536894"/>
      <w:bookmarkStart w:id="850" w:name="_Toc169708643"/>
      <w:bookmarkStart w:id="851" w:name="_Toc170119687"/>
      <w:bookmarkStart w:id="852" w:name="_Toc170138070"/>
      <w:bookmarkStart w:id="853" w:name="_Toc170140143"/>
      <w:bookmarkStart w:id="854" w:name="_Toc181715732"/>
      <w:r>
        <w:t>Gender inclusive communication</w:t>
      </w:r>
      <w:r w:rsidR="00977FA6">
        <w:t>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CF2826B" w14:textId="759DED13" w:rsidR="00977FA6" w:rsidRDefault="00977FA6" w:rsidP="00977FA6">
      <w:r>
        <w:t xml:space="preserve">The GES </w:t>
      </w:r>
      <w:r w:rsidR="00593AB7">
        <w:t>Survey</w:t>
      </w:r>
      <w:r>
        <w:t xml:space="preserve"> measured agency commitment</w:t>
      </w:r>
      <w:r w:rsidR="008E49CE">
        <w:t xml:space="preserve"> on using gender inclusive language and images on communications </w:t>
      </w:r>
      <w:r>
        <w:t xml:space="preserve">and found that the majority of agencies had implemented these actions. The majority of agencies had reviewed gender inclusive language and images in their </w:t>
      </w:r>
      <w:r w:rsidR="008B15D2">
        <w:t xml:space="preserve">recruitment ads (77%), </w:t>
      </w:r>
      <w:r>
        <w:t>internal policy documents (</w:t>
      </w:r>
      <w:r w:rsidR="00101798">
        <w:t>75</w:t>
      </w:r>
      <w:r>
        <w:t>%), agency intranet (</w:t>
      </w:r>
      <w:r w:rsidR="00101798">
        <w:t>71</w:t>
      </w:r>
      <w:r w:rsidR="00A27A30">
        <w:t xml:space="preserve">%), </w:t>
      </w:r>
      <w:r w:rsidR="00DD6A00">
        <w:t xml:space="preserve">and </w:t>
      </w:r>
      <w:r>
        <w:t>agency website (63%)</w:t>
      </w:r>
      <w:r w:rsidR="00DD6A00">
        <w:t>.</w:t>
      </w:r>
    </w:p>
    <w:p w14:paraId="622151C5" w14:textId="3CA60596" w:rsidR="00351505" w:rsidRPr="00351505" w:rsidRDefault="00351505" w:rsidP="00351505">
      <w:pPr>
        <w:pStyle w:val="Heading2"/>
      </w:pPr>
      <w:bookmarkStart w:id="855" w:name="_Toc165991667"/>
      <w:bookmarkStart w:id="856" w:name="_Toc166082965"/>
      <w:bookmarkStart w:id="857" w:name="_Toc166160329"/>
      <w:bookmarkStart w:id="858" w:name="_Toc166168028"/>
      <w:bookmarkStart w:id="859" w:name="_Toc168329188"/>
      <w:bookmarkStart w:id="860" w:name="_Toc168322845"/>
      <w:bookmarkStart w:id="861" w:name="_Toc168387961"/>
      <w:bookmarkStart w:id="862" w:name="_Toc168405616"/>
      <w:bookmarkStart w:id="863" w:name="_Toc168408654"/>
      <w:bookmarkStart w:id="864" w:name="_Toc168411056"/>
      <w:bookmarkStart w:id="865" w:name="_Toc168405915"/>
      <w:bookmarkStart w:id="866" w:name="_Toc168473723"/>
      <w:bookmarkStart w:id="867" w:name="_Toc168471621"/>
      <w:bookmarkStart w:id="868" w:name="_Toc168484681"/>
      <w:bookmarkStart w:id="869" w:name="_Toc168495149"/>
      <w:bookmarkStart w:id="870" w:name="_Toc168495598"/>
      <w:bookmarkStart w:id="871" w:name="_Toc169103266"/>
      <w:bookmarkStart w:id="872" w:name="_Toc169104740"/>
      <w:bookmarkStart w:id="873" w:name="_Toc169278456"/>
      <w:bookmarkStart w:id="874" w:name="_Toc169536895"/>
      <w:bookmarkStart w:id="875" w:name="_Toc169708644"/>
      <w:bookmarkStart w:id="876" w:name="_Toc170119688"/>
      <w:bookmarkStart w:id="877" w:name="_Toc170138071"/>
      <w:bookmarkStart w:id="878" w:name="_Toc170140144"/>
      <w:bookmarkStart w:id="879" w:name="_Toc181715733"/>
      <w:r>
        <w:t>Superannuation awareness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1995421D" w14:textId="1F32A676" w:rsidR="00495219" w:rsidRDefault="006B1B17" w:rsidP="00623833">
      <w:r>
        <w:t>The Strategy reported that in 2020, there was a 20% superannuation balance gap at retirement between male and female public sector superannuation balances as measured by Commonwealth Superannuation Corporation data.</w:t>
      </w:r>
      <w:r w:rsidR="003C3634">
        <w:rPr>
          <w:rStyle w:val="FootnoteReference"/>
        </w:rPr>
        <w:footnoteReference w:id="12"/>
      </w:r>
      <w:r w:rsidRPr="006B1B17">
        <w:t xml:space="preserve"> </w:t>
      </w:r>
      <w:r>
        <w:t>The gap remained 20% in 2024.</w:t>
      </w:r>
      <w:r w:rsidR="007374EA">
        <w:rPr>
          <w:rStyle w:val="FootnoteReference"/>
        </w:rPr>
        <w:footnoteReference w:id="13"/>
      </w:r>
    </w:p>
    <w:p w14:paraId="4684A7EE" w14:textId="326EC263" w:rsidR="003C3634" w:rsidRDefault="0044338B" w:rsidP="00623833">
      <w:r>
        <w:t>F</w:t>
      </w:r>
      <w:r w:rsidR="000E1828">
        <w:t>indings from</w:t>
      </w:r>
      <w:r w:rsidR="00CF10F1">
        <w:t xml:space="preserve"> the 2019 Community and Public Sector Union</w:t>
      </w:r>
      <w:r w:rsidR="00A70408">
        <w:t>’s</w:t>
      </w:r>
      <w:r w:rsidR="00CF10F1">
        <w:t xml:space="preserve"> </w:t>
      </w:r>
      <w:r w:rsidR="00CF10F1" w:rsidRPr="00DB477C">
        <w:rPr>
          <w:i/>
        </w:rPr>
        <w:t>Wh</w:t>
      </w:r>
      <w:r w:rsidR="001177A2" w:rsidRPr="00DB477C">
        <w:rPr>
          <w:i/>
        </w:rPr>
        <w:t>at Women Want Survey</w:t>
      </w:r>
      <w:r w:rsidR="001177A2">
        <w:t xml:space="preserve"> indicated that</w:t>
      </w:r>
      <w:r w:rsidR="00CF10F1">
        <w:t>:</w:t>
      </w:r>
    </w:p>
    <w:p w14:paraId="1DAD5283" w14:textId="611A15E5" w:rsidR="00CF10F1" w:rsidRDefault="00A63806" w:rsidP="00F9645E">
      <w:pPr>
        <w:pStyle w:val="BulletLevel1"/>
        <w:numPr>
          <w:ilvl w:val="0"/>
          <w:numId w:val="48"/>
        </w:numPr>
      </w:pPr>
      <w:r>
        <w:t>o</w:t>
      </w:r>
      <w:r w:rsidR="00A22C96">
        <w:t>ne</w:t>
      </w:r>
      <w:r w:rsidR="00254FE5">
        <w:t>-</w:t>
      </w:r>
      <w:r w:rsidR="00CF10F1">
        <w:t>third of women did not know what type of superannuation scheme they belonged to</w:t>
      </w:r>
    </w:p>
    <w:p w14:paraId="5E064A57" w14:textId="50BA0A93" w:rsidR="00CF10F1" w:rsidRDefault="00254FE5" w:rsidP="00F9645E">
      <w:pPr>
        <w:pStyle w:val="BulletLevel1"/>
        <w:numPr>
          <w:ilvl w:val="0"/>
          <w:numId w:val="48"/>
        </w:numPr>
      </w:pPr>
      <w:r>
        <w:t>o</w:t>
      </w:r>
      <w:r w:rsidR="00541F50">
        <w:t>ne</w:t>
      </w:r>
      <w:r>
        <w:t>-</w:t>
      </w:r>
      <w:r w:rsidR="00CF10F1">
        <w:t>in</w:t>
      </w:r>
      <w:r>
        <w:t>-</w:t>
      </w:r>
      <w:r w:rsidR="00BC1A5C">
        <w:t>ten</w:t>
      </w:r>
      <w:r w:rsidR="00CF10F1">
        <w:t xml:space="preserve"> women do not know how much money they have in super</w:t>
      </w:r>
    </w:p>
    <w:p w14:paraId="1467F8E0" w14:textId="430D0B86" w:rsidR="00CF10F1" w:rsidRDefault="00A63806" w:rsidP="00F9645E">
      <w:pPr>
        <w:pStyle w:val="BulletLevel1"/>
        <w:numPr>
          <w:ilvl w:val="0"/>
          <w:numId w:val="48"/>
        </w:numPr>
      </w:pPr>
      <w:proofErr w:type="gramStart"/>
      <w:r>
        <w:t>o</w:t>
      </w:r>
      <w:r w:rsidR="00CF10F1">
        <w:t>ver</w:t>
      </w:r>
      <w:proofErr w:type="gramEnd"/>
      <w:r w:rsidR="00CF10F1">
        <w:t xml:space="preserve"> half of women had never been to any superannuation information sessions.</w:t>
      </w:r>
      <w:r w:rsidR="003A0B5C">
        <w:rPr>
          <w:rStyle w:val="FootnoteReference"/>
        </w:rPr>
        <w:footnoteReference w:id="14"/>
      </w:r>
    </w:p>
    <w:p w14:paraId="3C25C5BE" w14:textId="77777777" w:rsidR="00B51BAF" w:rsidRDefault="00A70408" w:rsidP="00623833">
      <w:r>
        <w:t xml:space="preserve">The Strategy outlined the </w:t>
      </w:r>
      <w:r w:rsidR="00837AC7">
        <w:t>need for all employees to have a basic level of superannuation knowledge and noted the i</w:t>
      </w:r>
      <w:r>
        <w:t xml:space="preserve">mportance of agencies providing ongoing access to superannuation resources and awareness sessions, with a particular focus on </w:t>
      </w:r>
      <w:r w:rsidR="00837AC7">
        <w:t>employees early on in their career (</w:t>
      </w:r>
      <w:r>
        <w:t>entry level and graduate intakes</w:t>
      </w:r>
      <w:r w:rsidR="00837AC7">
        <w:t>)</w:t>
      </w:r>
      <w:r>
        <w:t xml:space="preserve">. </w:t>
      </w:r>
    </w:p>
    <w:p w14:paraId="62602323" w14:textId="1E6E08B0" w:rsidR="00BA7046" w:rsidRDefault="001177A2" w:rsidP="00623833">
      <w:r>
        <w:t xml:space="preserve">GES </w:t>
      </w:r>
      <w:r w:rsidR="0063554B">
        <w:t>S</w:t>
      </w:r>
      <w:r>
        <w:t xml:space="preserve">urvey results </w:t>
      </w:r>
      <w:r w:rsidR="00B51BAF">
        <w:t>show</w:t>
      </w:r>
      <w:r>
        <w:t xml:space="preserve"> that</w:t>
      </w:r>
      <w:r w:rsidR="00A22C96">
        <w:t xml:space="preserve"> </w:t>
      </w:r>
      <w:r w:rsidR="0063554B">
        <w:t>since</w:t>
      </w:r>
      <w:r w:rsidR="00A22C96">
        <w:t xml:space="preserve"> the </w:t>
      </w:r>
      <w:r w:rsidR="0063554B">
        <w:t xml:space="preserve">Strategy was released, </w:t>
      </w:r>
      <w:r w:rsidR="00EC5B78">
        <w:t>51</w:t>
      </w:r>
      <w:r w:rsidR="0063554B">
        <w:t xml:space="preserve">% of </w:t>
      </w:r>
      <w:r w:rsidR="002C03B8">
        <w:t xml:space="preserve">responding </w:t>
      </w:r>
      <w:r w:rsidR="0063554B">
        <w:t>agencies</w:t>
      </w:r>
      <w:r w:rsidR="00A22C96">
        <w:t xml:space="preserve"> provided employee superannuation awareness or educational sessions</w:t>
      </w:r>
      <w:r w:rsidR="00A70408">
        <w:t>.</w:t>
      </w:r>
      <w:r w:rsidR="0063554B">
        <w:t xml:space="preserve"> </w:t>
      </w:r>
      <w:r w:rsidR="008F6DEE">
        <w:t xml:space="preserve">44% </w:t>
      </w:r>
      <w:r w:rsidR="0063554B">
        <w:t>of</w:t>
      </w:r>
      <w:r w:rsidR="00392B0B">
        <w:t xml:space="preserve"> responding</w:t>
      </w:r>
      <w:r w:rsidR="0063554B">
        <w:t xml:space="preserve"> agencies had offered</w:t>
      </w:r>
      <w:r w:rsidR="00A22C96">
        <w:t xml:space="preserve"> superannuation information or resources to new recruits in addition to the standard superannuation application </w:t>
      </w:r>
      <w:r w:rsidR="001F0033">
        <w:t>form</w:t>
      </w:r>
      <w:r w:rsidR="0063554B">
        <w:t xml:space="preserve"> as part of their induction.</w:t>
      </w:r>
      <w:r w:rsidR="00B51BAF">
        <w:t xml:space="preserve"> This indicates that more agencies need to work on promoting superannuation awareness. </w:t>
      </w:r>
      <w:r w:rsidR="00351505">
        <w:br w:type="page"/>
      </w:r>
    </w:p>
    <w:p w14:paraId="747AE9FF" w14:textId="6D355C6C" w:rsidR="00351505" w:rsidRDefault="00AD42D7" w:rsidP="005B58DF">
      <w:pPr>
        <w:pStyle w:val="Heading1"/>
      </w:pPr>
      <w:bookmarkStart w:id="880" w:name="_Toc165991668"/>
      <w:bookmarkStart w:id="881" w:name="_Toc166082966"/>
      <w:bookmarkStart w:id="882" w:name="_Toc166160330"/>
      <w:bookmarkStart w:id="883" w:name="_Toc166168029"/>
      <w:bookmarkStart w:id="884" w:name="_Toc168329189"/>
      <w:bookmarkStart w:id="885" w:name="_Toc168322846"/>
      <w:bookmarkStart w:id="886" w:name="_Toc168387962"/>
      <w:bookmarkStart w:id="887" w:name="_Toc168405617"/>
      <w:bookmarkStart w:id="888" w:name="_Toc168408655"/>
      <w:bookmarkStart w:id="889" w:name="_Toc168411057"/>
      <w:bookmarkStart w:id="890" w:name="_Toc168405916"/>
      <w:bookmarkStart w:id="891" w:name="_Toc168473724"/>
      <w:bookmarkStart w:id="892" w:name="_Toc168471622"/>
      <w:bookmarkStart w:id="893" w:name="_Toc168484682"/>
      <w:bookmarkStart w:id="894" w:name="_Toc168495150"/>
      <w:bookmarkStart w:id="895" w:name="_Toc168495599"/>
      <w:bookmarkStart w:id="896" w:name="_Toc169103267"/>
      <w:bookmarkStart w:id="897" w:name="_Toc169104741"/>
      <w:bookmarkStart w:id="898" w:name="_Toc169278457"/>
      <w:bookmarkStart w:id="899" w:name="_Toc169536896"/>
      <w:bookmarkStart w:id="900" w:name="_Toc169708645"/>
      <w:bookmarkStart w:id="901" w:name="_Toc170119689"/>
      <w:bookmarkStart w:id="902" w:name="_Toc170138072"/>
      <w:bookmarkStart w:id="903" w:name="_Toc170140145"/>
      <w:bookmarkStart w:id="904" w:name="_Toc181715734"/>
      <w:r>
        <w:lastRenderedPageBreak/>
        <w:t xml:space="preserve">Strategy impacts on </w:t>
      </w:r>
      <w:r w:rsidR="00BA7046">
        <w:t>Action Area 3</w:t>
      </w:r>
      <w:r w:rsidR="00BA7046" w:rsidRPr="00736350">
        <w:t xml:space="preserve">: </w:t>
      </w:r>
      <w:r w:rsidR="00BA7046">
        <w:t>Shifting gender stereotypes</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tbl>
      <w:tblPr>
        <w:tblStyle w:val="TableGrid"/>
        <w:tblW w:w="0" w:type="auto"/>
        <w:tblLook w:val="04A0" w:firstRow="1" w:lastRow="0" w:firstColumn="1" w:lastColumn="0" w:noHBand="0" w:noVBand="1"/>
        <w:tblCaption w:val="Strategy impacts on Action Area 3: Shifting gender stereotypes"/>
        <w:tblDescription w:val="Strategy impacts on Action Area 3: Shifting gender stereotypes"/>
      </w:tblPr>
      <w:tblGrid>
        <w:gridCol w:w="3317"/>
        <w:gridCol w:w="1472"/>
        <w:gridCol w:w="4271"/>
      </w:tblGrid>
      <w:tr w:rsidR="005F6814" w14:paraId="357C6556" w14:textId="77777777" w:rsidTr="00AD566C">
        <w:trPr>
          <w:trHeight w:val="432"/>
          <w:tblHeader/>
        </w:trPr>
        <w:tc>
          <w:tcPr>
            <w:tcW w:w="3317" w:type="dxa"/>
            <w:shd w:val="clear" w:color="auto" w:fill="4DA3AB" w:themeFill="accent1"/>
          </w:tcPr>
          <w:p w14:paraId="0CB8D44D" w14:textId="77777777" w:rsidR="005F6814" w:rsidRPr="009A4425" w:rsidRDefault="005F6814" w:rsidP="005F6814">
            <w:pPr>
              <w:rPr>
                <w:b/>
                <w:sz w:val="24"/>
                <w:szCs w:val="24"/>
              </w:rPr>
            </w:pPr>
            <w:bookmarkStart w:id="905" w:name="_Toc165991670"/>
            <w:bookmarkStart w:id="906" w:name="_Toc166082968"/>
            <w:bookmarkStart w:id="907" w:name="_Toc166160332"/>
            <w:bookmarkStart w:id="908" w:name="_Toc166168031"/>
            <w:bookmarkStart w:id="909" w:name="_Toc168329191"/>
            <w:bookmarkStart w:id="910" w:name="_Toc168322848"/>
            <w:bookmarkStart w:id="911" w:name="_Toc168387964"/>
            <w:bookmarkStart w:id="912" w:name="_Toc168405619"/>
            <w:bookmarkStart w:id="913" w:name="_Toc168408657"/>
            <w:bookmarkStart w:id="914" w:name="_Toc168411059"/>
            <w:bookmarkStart w:id="915" w:name="_Toc168405918"/>
            <w:bookmarkStart w:id="916" w:name="_Toc168473726"/>
            <w:bookmarkStart w:id="917" w:name="_Toc168471624"/>
            <w:bookmarkStart w:id="918" w:name="_Toc168484684"/>
            <w:bookmarkStart w:id="919" w:name="_Toc168495152"/>
            <w:bookmarkStart w:id="920" w:name="_Toc168495601"/>
            <w:bookmarkStart w:id="921" w:name="_Toc169103269"/>
            <w:bookmarkStart w:id="922" w:name="_Toc169104743"/>
            <w:bookmarkStart w:id="923" w:name="_Toc169278459"/>
            <w:bookmarkStart w:id="924" w:name="_Toc169536898"/>
            <w:r w:rsidRPr="009A4425">
              <w:rPr>
                <w:b/>
                <w:sz w:val="24"/>
                <w:szCs w:val="24"/>
              </w:rPr>
              <w:t>Action</w:t>
            </w:r>
          </w:p>
        </w:tc>
        <w:tc>
          <w:tcPr>
            <w:tcW w:w="1472" w:type="dxa"/>
            <w:shd w:val="clear" w:color="auto" w:fill="4DA3AB" w:themeFill="accent1"/>
          </w:tcPr>
          <w:p w14:paraId="2788E260" w14:textId="029E1DE3" w:rsidR="005F6814" w:rsidRPr="009A4425" w:rsidRDefault="00D537F9" w:rsidP="048C37C8">
            <w:pPr>
              <w:rPr>
                <w:b/>
                <w:bCs/>
                <w:sz w:val="24"/>
                <w:szCs w:val="24"/>
              </w:rPr>
            </w:pPr>
            <w:r w:rsidRPr="048C37C8">
              <w:rPr>
                <w:b/>
                <w:bCs/>
                <w:sz w:val="24"/>
                <w:szCs w:val="24"/>
              </w:rPr>
              <w:t xml:space="preserve">Status </w:t>
            </w:r>
          </w:p>
        </w:tc>
        <w:tc>
          <w:tcPr>
            <w:tcW w:w="4271" w:type="dxa"/>
            <w:shd w:val="clear" w:color="auto" w:fill="4DA3AB" w:themeFill="accent1"/>
          </w:tcPr>
          <w:p w14:paraId="49615165"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76A538E2" w14:textId="77777777" w:rsidTr="048C37C8">
        <w:trPr>
          <w:trHeight w:val="3296"/>
        </w:trPr>
        <w:tc>
          <w:tcPr>
            <w:tcW w:w="3317" w:type="dxa"/>
            <w:shd w:val="clear" w:color="auto" w:fill="auto"/>
          </w:tcPr>
          <w:p w14:paraId="00485F53" w14:textId="77777777" w:rsidR="005F6814" w:rsidRPr="004937DD" w:rsidRDefault="005F6814" w:rsidP="005F6814">
            <w:pPr>
              <w:rPr>
                <w:b/>
              </w:rPr>
            </w:pPr>
            <w:r>
              <w:rPr>
                <w:b/>
              </w:rPr>
              <w:t>(</w:t>
            </w:r>
            <w:r w:rsidRPr="00700A07">
              <w:rPr>
                <w:b/>
              </w:rPr>
              <w:t>Minimum standard)</w:t>
            </w:r>
            <w:r w:rsidRPr="00D55351">
              <w:t xml:space="preserve"> Ensuring gender dive</w:t>
            </w:r>
            <w:r w:rsidRPr="004D0279">
              <w:t>rsity in selection processes</w:t>
            </w:r>
            <w:r w:rsidRPr="00F65D88">
              <w:t>, including internal processes and EOIs. Selection panels are gender-balanced and are equipped to call-out any potential bias during the process.</w:t>
            </w:r>
          </w:p>
        </w:tc>
        <w:tc>
          <w:tcPr>
            <w:tcW w:w="1472" w:type="dxa"/>
            <w:shd w:val="clear" w:color="auto" w:fill="auto"/>
          </w:tcPr>
          <w:p w14:paraId="737DA6C6" w14:textId="77777777" w:rsidR="005F6814" w:rsidRPr="00321031" w:rsidRDefault="005F6814" w:rsidP="005F6814">
            <w:pPr>
              <w:rPr>
                <w:b/>
              </w:rPr>
            </w:pPr>
            <w:r w:rsidRPr="00321031">
              <w:rPr>
                <w:b/>
              </w:rPr>
              <w:t>Progress made</w:t>
            </w:r>
            <w:r w:rsidRPr="00CB1F5C">
              <w:rPr>
                <w:b/>
              </w:rPr>
              <w:t xml:space="preserve"> </w:t>
            </w:r>
          </w:p>
        </w:tc>
        <w:tc>
          <w:tcPr>
            <w:tcW w:w="4271" w:type="dxa"/>
            <w:shd w:val="clear" w:color="auto" w:fill="auto"/>
          </w:tcPr>
          <w:p w14:paraId="3673FFE7" w14:textId="092AA505" w:rsidR="005F6814" w:rsidRDefault="00004BC2" w:rsidP="00F9645E">
            <w:pPr>
              <w:pStyle w:val="BulletLevel1"/>
              <w:numPr>
                <w:ilvl w:val="0"/>
                <w:numId w:val="34"/>
              </w:numPr>
              <w:spacing w:before="0"/>
              <w:ind w:hanging="357"/>
            </w:pPr>
            <w:r>
              <w:t xml:space="preserve">97% of responding </w:t>
            </w:r>
            <w:r w:rsidR="005F6814">
              <w:t>agencies were able to demonstrate ways in which they ensured gender balance on selection panels.</w:t>
            </w:r>
          </w:p>
          <w:p w14:paraId="1B2D2074" w14:textId="13F4DD7D" w:rsidR="005F6814" w:rsidRDefault="006E1828" w:rsidP="00F9645E">
            <w:pPr>
              <w:pStyle w:val="BulletLevel1"/>
              <w:numPr>
                <w:ilvl w:val="0"/>
                <w:numId w:val="34"/>
              </w:numPr>
              <w:spacing w:before="0"/>
              <w:ind w:hanging="357"/>
            </w:pPr>
            <w:r>
              <w:t>90% of responding</w:t>
            </w:r>
            <w:r w:rsidR="005F6814">
              <w:t xml:space="preserve"> agencies demonstrated ways that potential biases could be called out or ways in which bias in selection panels is mitigated.</w:t>
            </w:r>
          </w:p>
          <w:p w14:paraId="226734C3" w14:textId="77777777" w:rsidR="005F6814" w:rsidRDefault="00893AB0" w:rsidP="00F9645E">
            <w:pPr>
              <w:pStyle w:val="BulletLevel1"/>
              <w:numPr>
                <w:ilvl w:val="0"/>
                <w:numId w:val="34"/>
              </w:numPr>
              <w:spacing w:before="0"/>
              <w:ind w:hanging="357"/>
            </w:pPr>
            <w:r>
              <w:t>58% of agencies</w:t>
            </w:r>
            <w:r w:rsidR="005F6814">
              <w:t xml:space="preserve"> stated that they provided training, information</w:t>
            </w:r>
            <w:r>
              <w:t>,</w:t>
            </w:r>
            <w:r w:rsidR="005F6814">
              <w:t xml:space="preserve"> and guidance to recruiters including unconscious bias training.</w:t>
            </w:r>
          </w:p>
          <w:p w14:paraId="2D42CC52" w14:textId="06D7DDDE" w:rsidR="005F6814" w:rsidRDefault="005F6814" w:rsidP="006E644B">
            <w:pPr>
              <w:pStyle w:val="BulletLevel1"/>
              <w:spacing w:before="0"/>
              <w:ind w:left="360" w:firstLine="0"/>
            </w:pPr>
          </w:p>
        </w:tc>
      </w:tr>
      <w:tr w:rsidR="005F6814" w14:paraId="6CDF1A91" w14:textId="77777777" w:rsidTr="048C37C8">
        <w:trPr>
          <w:trHeight w:val="4605"/>
        </w:trPr>
        <w:tc>
          <w:tcPr>
            <w:tcW w:w="3317" w:type="dxa"/>
            <w:shd w:val="clear" w:color="auto" w:fill="auto"/>
          </w:tcPr>
          <w:p w14:paraId="3B8420CD" w14:textId="77777777" w:rsidR="005F6814" w:rsidRPr="00F65D88" w:rsidRDefault="005F6814" w:rsidP="005F6814">
            <w:pPr>
              <w:rPr>
                <w:b/>
              </w:rPr>
            </w:pPr>
            <w:r>
              <w:rPr>
                <w:b/>
              </w:rPr>
              <w:t>3A</w:t>
            </w:r>
            <w:r w:rsidRPr="00700A07">
              <w:rPr>
                <w:b/>
              </w:rPr>
              <w:t xml:space="preserve"> </w:t>
            </w:r>
            <w:r w:rsidRPr="00F65D88">
              <w:t>Agencies will create opportunities to strengthen gender representation in select occupations (e.g. STEM and Service Delivery) and talent pipelines, in a targeted way, taking into account the broader labour market.</w:t>
            </w:r>
          </w:p>
          <w:p w14:paraId="56EB2520" w14:textId="77777777" w:rsidR="005F6814" w:rsidRPr="004937DD" w:rsidRDefault="005F6814" w:rsidP="005F6814">
            <w:pPr>
              <w:rPr>
                <w:b/>
              </w:rPr>
            </w:pPr>
          </w:p>
        </w:tc>
        <w:tc>
          <w:tcPr>
            <w:tcW w:w="1472" w:type="dxa"/>
            <w:shd w:val="clear" w:color="auto" w:fill="auto"/>
          </w:tcPr>
          <w:p w14:paraId="15FC0F80" w14:textId="77777777" w:rsidR="005F6814" w:rsidRPr="00CB1F5C" w:rsidRDefault="005F6814" w:rsidP="005F6814">
            <w:pPr>
              <w:rPr>
                <w:b/>
              </w:rPr>
            </w:pPr>
            <w:r>
              <w:rPr>
                <w:b/>
              </w:rPr>
              <w:t>Improvement needed</w:t>
            </w:r>
          </w:p>
        </w:tc>
        <w:tc>
          <w:tcPr>
            <w:tcW w:w="4271" w:type="dxa"/>
            <w:shd w:val="clear" w:color="auto" w:fill="auto"/>
          </w:tcPr>
          <w:p w14:paraId="01EB50EF" w14:textId="52F7D943" w:rsidR="005F6814" w:rsidRDefault="00DF071C" w:rsidP="00F9645E">
            <w:pPr>
              <w:pStyle w:val="BulletLevel1"/>
              <w:numPr>
                <w:ilvl w:val="0"/>
                <w:numId w:val="46"/>
              </w:numPr>
              <w:spacing w:before="0"/>
              <w:ind w:hanging="357"/>
            </w:pPr>
            <w:r>
              <w:t>T</w:t>
            </w:r>
            <w:r w:rsidR="005F6814">
              <w:t>he APS ha</w:t>
            </w:r>
            <w:r>
              <w:t>s</w:t>
            </w:r>
            <w:r w:rsidR="005F6814">
              <w:t xml:space="preserve"> seen almost no change in the representation of women and men across job families between 2021 and 2023.</w:t>
            </w:r>
          </w:p>
          <w:p w14:paraId="1B028112" w14:textId="2234C523" w:rsidR="005F6814" w:rsidRDefault="005F6814" w:rsidP="00F9645E">
            <w:pPr>
              <w:pStyle w:val="BulletLevel1"/>
              <w:numPr>
                <w:ilvl w:val="0"/>
                <w:numId w:val="46"/>
              </w:numPr>
              <w:spacing w:before="0"/>
            </w:pPr>
            <w:r>
              <w:t>Agencies said that they created opportunities to strengt</w:t>
            </w:r>
            <w:r w:rsidR="00D139E5">
              <w:t>hen gender representation</w:t>
            </w:r>
            <w:r w:rsidR="00D54C38">
              <w:t>, however 16% noted they did not create any opportunities.</w:t>
            </w:r>
          </w:p>
          <w:p w14:paraId="4A1E6089" w14:textId="385FEDC3" w:rsidR="005F6814" w:rsidRDefault="00BF13DF" w:rsidP="00F9645E">
            <w:pPr>
              <w:pStyle w:val="BulletLevel1"/>
              <w:numPr>
                <w:ilvl w:val="0"/>
                <w:numId w:val="46"/>
              </w:numPr>
              <w:spacing w:before="0"/>
            </w:pPr>
            <w:r>
              <w:t xml:space="preserve">32% noted </w:t>
            </w:r>
            <w:r w:rsidR="005F6814">
              <w:t>recruitment processes</w:t>
            </w:r>
            <w:r w:rsidR="005F6814" w:rsidRPr="001C22E0">
              <w:t xml:space="preserve">, </w:t>
            </w:r>
            <w:r w:rsidR="005F6814">
              <w:t>such as</w:t>
            </w:r>
            <w:r w:rsidR="005F6814" w:rsidRPr="001C22E0">
              <w:t xml:space="preserve"> gender-balanced selection panels,</w:t>
            </w:r>
            <w:r w:rsidR="005F6814">
              <w:t xml:space="preserve"> </w:t>
            </w:r>
            <w:r w:rsidR="005F6814" w:rsidRPr="001C22E0">
              <w:t>inclusive language in job advertisements</w:t>
            </w:r>
            <w:r w:rsidR="00A07CBA">
              <w:t>,</w:t>
            </w:r>
            <w:r w:rsidR="005F6814" w:rsidRPr="001C22E0">
              <w:t xml:space="preserve"> and marketing content that reflects the diversity of staff</w:t>
            </w:r>
            <w:r w:rsidR="00274DDA">
              <w:t>.</w:t>
            </w:r>
          </w:p>
          <w:p w14:paraId="0A6A4F2D" w14:textId="3B1307DD" w:rsidR="005F6814" w:rsidRDefault="00BF13DF" w:rsidP="00F9645E">
            <w:pPr>
              <w:pStyle w:val="BulletLevel1"/>
              <w:numPr>
                <w:ilvl w:val="0"/>
                <w:numId w:val="46"/>
              </w:numPr>
              <w:spacing w:before="0"/>
            </w:pPr>
            <w:r>
              <w:t xml:space="preserve">23% noted </w:t>
            </w:r>
            <w:r w:rsidR="005F6814" w:rsidRPr="001C22E0">
              <w:t>targeted recruitment of graduates, interns</w:t>
            </w:r>
            <w:r>
              <w:t>,</w:t>
            </w:r>
            <w:r w:rsidR="005F6814">
              <w:t xml:space="preserve"> and</w:t>
            </w:r>
            <w:r w:rsidR="005F6814" w:rsidRPr="001C22E0">
              <w:t xml:space="preserve"> cadets </w:t>
            </w:r>
            <w:r>
              <w:t>in select occupations</w:t>
            </w:r>
            <w:r w:rsidR="00274DDA">
              <w:t>.</w:t>
            </w:r>
          </w:p>
          <w:p w14:paraId="2B6C17F0" w14:textId="4D67C34B" w:rsidR="005F6814" w:rsidRDefault="005F6814" w:rsidP="00126350">
            <w:pPr>
              <w:pStyle w:val="BulletLevel1"/>
              <w:spacing w:before="0"/>
              <w:ind w:left="360" w:firstLine="0"/>
            </w:pPr>
          </w:p>
        </w:tc>
      </w:tr>
      <w:tr w:rsidR="005F6814" w14:paraId="15C7D82F" w14:textId="77777777" w:rsidTr="048C37C8">
        <w:tc>
          <w:tcPr>
            <w:tcW w:w="3317" w:type="dxa"/>
            <w:shd w:val="clear" w:color="auto" w:fill="auto"/>
          </w:tcPr>
          <w:p w14:paraId="460B1859" w14:textId="77777777" w:rsidR="005F6814" w:rsidRPr="00F65D88" w:rsidRDefault="005F6814" w:rsidP="005F6814">
            <w:r w:rsidRPr="00F65D88">
              <w:rPr>
                <w:b/>
              </w:rPr>
              <w:t>3B</w:t>
            </w:r>
            <w:r>
              <w:t xml:space="preserve"> </w:t>
            </w:r>
            <w:r w:rsidRPr="00F65D88">
              <w:t xml:space="preserve">The APSC, in consultation with agencies, will review APS-wide parental leave provisions, with a view to creating more flexible parental leave entitlements to enable a greater choice for parents. This seeks to enable more equitable sharing of caring responsibilities. </w:t>
            </w:r>
          </w:p>
          <w:p w14:paraId="32B1E8EC" w14:textId="77777777" w:rsidR="005F6814" w:rsidRDefault="005F6814" w:rsidP="005F6814">
            <w:pPr>
              <w:rPr>
                <w:b/>
              </w:rPr>
            </w:pPr>
          </w:p>
        </w:tc>
        <w:tc>
          <w:tcPr>
            <w:tcW w:w="1472" w:type="dxa"/>
            <w:shd w:val="clear" w:color="auto" w:fill="auto"/>
          </w:tcPr>
          <w:p w14:paraId="6E41705C" w14:textId="77777777" w:rsidR="005F6814" w:rsidRPr="00CB1F5C" w:rsidRDefault="005F6814" w:rsidP="005F6814">
            <w:pPr>
              <w:rPr>
                <w:b/>
              </w:rPr>
            </w:pPr>
            <w:r w:rsidRPr="00317297">
              <w:rPr>
                <w:b/>
              </w:rPr>
              <w:t>Achieved</w:t>
            </w:r>
          </w:p>
        </w:tc>
        <w:tc>
          <w:tcPr>
            <w:tcW w:w="4271" w:type="dxa"/>
            <w:shd w:val="clear" w:color="auto" w:fill="auto"/>
          </w:tcPr>
          <w:p w14:paraId="4D2E8A21" w14:textId="4ACAA3FF" w:rsidR="00624371" w:rsidRDefault="005F6814" w:rsidP="00F9645E">
            <w:pPr>
              <w:pStyle w:val="BulletLevel1"/>
              <w:numPr>
                <w:ilvl w:val="0"/>
                <w:numId w:val="47"/>
              </w:numPr>
              <w:spacing w:before="0"/>
              <w:ind w:hanging="357"/>
            </w:pPr>
            <w:r>
              <w:t xml:space="preserve">APS-wide parental leave provisions </w:t>
            </w:r>
            <w:r w:rsidR="00624371">
              <w:t xml:space="preserve">have </w:t>
            </w:r>
            <w:r w:rsidR="00D54C38">
              <w:t xml:space="preserve">been changed </w:t>
            </w:r>
            <w:r w:rsidR="00624371">
              <w:t>since the Strategy</w:t>
            </w:r>
            <w:r w:rsidR="00D54C38">
              <w:t xml:space="preserve"> commenced, offering more flexible parental leave entitlements</w:t>
            </w:r>
            <w:r>
              <w:t xml:space="preserve">. </w:t>
            </w:r>
          </w:p>
          <w:p w14:paraId="5F807653" w14:textId="28512CC0" w:rsidR="005F6814" w:rsidRDefault="005F6814" w:rsidP="00F9645E">
            <w:pPr>
              <w:pStyle w:val="BulletLevel1"/>
              <w:numPr>
                <w:ilvl w:val="0"/>
                <w:numId w:val="47"/>
              </w:numPr>
              <w:spacing w:before="0"/>
              <w:ind w:hanging="357"/>
            </w:pPr>
            <w:r>
              <w:t>All secondary</w:t>
            </w:r>
            <w:r w:rsidR="008E5A49">
              <w:t xml:space="preserve"> carer</w:t>
            </w:r>
            <w:r w:rsidRPr="00EE2F15">
              <w:t xml:space="preserve">s </w:t>
            </w:r>
            <w:r>
              <w:t>have been</w:t>
            </w:r>
            <w:r w:rsidRPr="00EE2F15">
              <w:t xml:space="preserve"> offered 8 weeks parental leave</w:t>
            </w:r>
            <w:r>
              <w:t xml:space="preserve">, </w:t>
            </w:r>
            <w:r w:rsidRPr="00EE2F15">
              <w:t>progressively increas</w:t>
            </w:r>
            <w:r>
              <w:t>ing</w:t>
            </w:r>
            <w:r w:rsidRPr="00EE2F15">
              <w:t xml:space="preserve"> to be in line with the 18 weeks offered to women by February 2027. </w:t>
            </w:r>
          </w:p>
          <w:p w14:paraId="1C92E78C" w14:textId="729E6C63" w:rsidR="005F6814" w:rsidRDefault="008E5A49" w:rsidP="00F9645E">
            <w:pPr>
              <w:pStyle w:val="BulletLevel1"/>
              <w:numPr>
                <w:ilvl w:val="0"/>
                <w:numId w:val="47"/>
              </w:numPr>
              <w:spacing w:before="0"/>
              <w:ind w:hanging="357"/>
            </w:pPr>
            <w:r>
              <w:t>Both</w:t>
            </w:r>
            <w:r w:rsidR="00D54C38">
              <w:t xml:space="preserve"> primary- and secondary-</w:t>
            </w:r>
            <w:r>
              <w:t>carer</w:t>
            </w:r>
            <w:r w:rsidR="005F6814">
              <w:t>s will also be given the flexibility of 24 months following the birth of a child to utilise the entitlements.</w:t>
            </w:r>
          </w:p>
          <w:p w14:paraId="5E484690" w14:textId="3D8E7107" w:rsidR="005F6814" w:rsidRDefault="005F6814" w:rsidP="006E644B">
            <w:pPr>
              <w:pStyle w:val="BulletLevel1"/>
              <w:spacing w:before="0"/>
              <w:ind w:left="360" w:firstLine="0"/>
            </w:pPr>
          </w:p>
        </w:tc>
      </w:tr>
      <w:tr w:rsidR="005F6814" w14:paraId="19079BF3" w14:textId="77777777" w:rsidTr="048C37C8">
        <w:trPr>
          <w:trHeight w:val="2834"/>
        </w:trPr>
        <w:tc>
          <w:tcPr>
            <w:tcW w:w="3317" w:type="dxa"/>
            <w:shd w:val="clear" w:color="auto" w:fill="auto"/>
          </w:tcPr>
          <w:p w14:paraId="2EBD3CB2" w14:textId="77777777" w:rsidR="005F6814" w:rsidRPr="00F65D88" w:rsidRDefault="005F6814" w:rsidP="005F6814">
            <w:pPr>
              <w:rPr>
                <w:b/>
              </w:rPr>
            </w:pPr>
            <w:r>
              <w:rPr>
                <w:b/>
              </w:rPr>
              <w:lastRenderedPageBreak/>
              <w:t>3C</w:t>
            </w:r>
            <w:r w:rsidRPr="00700A07">
              <w:rPr>
                <w:b/>
              </w:rPr>
              <w:t xml:space="preserve"> </w:t>
            </w:r>
            <w:r>
              <w:t xml:space="preserve">Agencies will be proactive in offering parental leave and flexible work arrangements to all employees including those with caring responsibilities. Managers will favourably consider requests for flexibility for all supporting partners who are welcoming a child reflecting a strong commitment and support for flexible ways of working. </w:t>
            </w:r>
          </w:p>
          <w:p w14:paraId="2CCE464B" w14:textId="77777777" w:rsidR="005F6814" w:rsidRPr="004937DD" w:rsidRDefault="005F6814" w:rsidP="005F6814">
            <w:pPr>
              <w:rPr>
                <w:b/>
              </w:rPr>
            </w:pPr>
          </w:p>
        </w:tc>
        <w:tc>
          <w:tcPr>
            <w:tcW w:w="1472" w:type="dxa"/>
            <w:shd w:val="clear" w:color="auto" w:fill="auto"/>
          </w:tcPr>
          <w:p w14:paraId="006B659F" w14:textId="17D49F04" w:rsidR="005F6814" w:rsidRPr="00CB1F5C" w:rsidRDefault="00750980" w:rsidP="005F6814">
            <w:pPr>
              <w:rPr>
                <w:b/>
              </w:rPr>
            </w:pPr>
            <w:r>
              <w:rPr>
                <w:b/>
              </w:rPr>
              <w:t>Improvement needed</w:t>
            </w:r>
          </w:p>
        </w:tc>
        <w:tc>
          <w:tcPr>
            <w:tcW w:w="4271" w:type="dxa"/>
            <w:shd w:val="clear" w:color="auto" w:fill="auto"/>
          </w:tcPr>
          <w:p w14:paraId="7AE68123" w14:textId="721EB676" w:rsidR="00750980" w:rsidRDefault="00624371" w:rsidP="00F9645E">
            <w:pPr>
              <w:pStyle w:val="BulletLevel1"/>
              <w:numPr>
                <w:ilvl w:val="0"/>
                <w:numId w:val="47"/>
              </w:numPr>
              <w:spacing w:before="0"/>
              <w:ind w:hanging="357"/>
            </w:pPr>
            <w:r>
              <w:t>T</w:t>
            </w:r>
            <w:r w:rsidR="005F6814">
              <w:t xml:space="preserve">he GES Survey found </w:t>
            </w:r>
            <w:r w:rsidR="00CF630C">
              <w:t xml:space="preserve">that only </w:t>
            </w:r>
            <w:r w:rsidR="005F6814">
              <w:t xml:space="preserve">10% of </w:t>
            </w:r>
            <w:r w:rsidR="00CF630C">
              <w:t xml:space="preserve">responding </w:t>
            </w:r>
            <w:r w:rsidR="005F6814">
              <w:t>agencies promote</w:t>
            </w:r>
            <w:r w:rsidR="00CF630C">
              <w:t>d</w:t>
            </w:r>
            <w:r w:rsidR="005F6814">
              <w:t xml:space="preserve"> and raise</w:t>
            </w:r>
            <w:r w:rsidR="00CF630C">
              <w:t>d</w:t>
            </w:r>
            <w:r w:rsidR="005F6814">
              <w:t xml:space="preserve"> awareness of leave e</w:t>
            </w:r>
            <w:r w:rsidR="00C17EA9">
              <w:t>ntitlements for secondary carers</w:t>
            </w:r>
            <w:r w:rsidR="005F6814">
              <w:t xml:space="preserve">. </w:t>
            </w:r>
          </w:p>
          <w:p w14:paraId="1A3FB4CB" w14:textId="6C54BE00" w:rsidR="005F6814" w:rsidRDefault="005F6814" w:rsidP="006E644B">
            <w:pPr>
              <w:pStyle w:val="BulletLevel1"/>
              <w:spacing w:before="0"/>
              <w:ind w:left="360" w:firstLine="0"/>
            </w:pPr>
          </w:p>
        </w:tc>
      </w:tr>
    </w:tbl>
    <w:p w14:paraId="12450FC4" w14:textId="4B3F694F" w:rsidR="000C663F" w:rsidRDefault="00D16E3C" w:rsidP="004D41AC">
      <w:pPr>
        <w:pStyle w:val="Heading2"/>
      </w:pPr>
      <w:bookmarkStart w:id="925" w:name="_Toc169708646"/>
      <w:bookmarkStart w:id="926" w:name="_Toc170119690"/>
      <w:bookmarkStart w:id="927" w:name="_Toc170138073"/>
      <w:bookmarkStart w:id="928" w:name="_Toc170140146"/>
      <w:bookmarkStart w:id="929" w:name="_Toc181715735"/>
      <w:r>
        <w:t>Gender representation across</w:t>
      </w:r>
      <w:r w:rsidR="004D41AC">
        <w:t xml:space="preserve"> </w:t>
      </w:r>
      <w:r w:rsidR="00D97D6D">
        <w:t>job families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14:paraId="6F853BED" w14:textId="3B872938" w:rsidR="0078195D" w:rsidRDefault="007E2A16" w:rsidP="00F039D2">
      <w:r>
        <w:t>From 2021 to</w:t>
      </w:r>
      <w:r w:rsidR="0078195D">
        <w:t xml:space="preserve"> 2023</w:t>
      </w:r>
      <w:r w:rsidR="00826DEB">
        <w:t>,</w:t>
      </w:r>
      <w:r w:rsidR="00A66B8C">
        <w:t xml:space="preserve"> there w</w:t>
      </w:r>
      <w:r w:rsidR="00D97D6D">
        <w:t>as</w:t>
      </w:r>
      <w:r w:rsidR="00A66B8C">
        <w:t xml:space="preserve"> </w:t>
      </w:r>
      <w:r>
        <w:t xml:space="preserve">minimal change in the representation of women </w:t>
      </w:r>
      <w:r w:rsidR="00B71CB1">
        <w:t xml:space="preserve">compared to </w:t>
      </w:r>
      <w:r>
        <w:t xml:space="preserve">men </w:t>
      </w:r>
      <w:r w:rsidR="00D97D6D">
        <w:t>across job families</w:t>
      </w:r>
      <w:r w:rsidR="00A66B8C">
        <w:t>.</w:t>
      </w:r>
      <w:r w:rsidR="0078195D">
        <w:t xml:space="preserve"> </w:t>
      </w:r>
      <w:r w:rsidR="00A66B8C">
        <w:t>T</w:t>
      </w:r>
      <w:r w:rsidR="0078195D">
        <w:t xml:space="preserve">he </w:t>
      </w:r>
      <w:r w:rsidR="00D97D6D">
        <w:t>job families</w:t>
      </w:r>
      <w:r w:rsidR="0078195D">
        <w:t xml:space="preserve"> that had the lowest proportion of </w:t>
      </w:r>
      <w:r w:rsidR="00A56D91">
        <w:t xml:space="preserve">women were Engineering and </w:t>
      </w:r>
      <w:r w:rsidR="00A56D91" w:rsidRPr="0005002C">
        <w:t>Technical (</w:t>
      </w:r>
      <w:r w:rsidR="00D968CD" w:rsidRPr="0005002C">
        <w:t>16%</w:t>
      </w:r>
      <w:r w:rsidR="00A56D91" w:rsidRPr="0005002C">
        <w:t>)</w:t>
      </w:r>
      <w:r w:rsidR="00C31205" w:rsidRPr="0005002C">
        <w:t>,</w:t>
      </w:r>
      <w:r w:rsidR="00A56D91" w:rsidRPr="0005002C">
        <w:t xml:space="preserve"> Trades and Labour (</w:t>
      </w:r>
      <w:r w:rsidR="00D968CD" w:rsidRPr="0005002C">
        <w:t>25%</w:t>
      </w:r>
      <w:r w:rsidR="00A56D91" w:rsidRPr="0005002C">
        <w:t>)</w:t>
      </w:r>
      <w:r w:rsidR="00CA1FD8" w:rsidRPr="0005002C">
        <w:t>,</w:t>
      </w:r>
      <w:r w:rsidR="00A56D91" w:rsidRPr="0005002C">
        <w:t xml:space="preserve"> and</w:t>
      </w:r>
      <w:r w:rsidR="000310D3" w:rsidRPr="0005002C">
        <w:t xml:space="preserve"> ICT and Digital Solutions (</w:t>
      </w:r>
      <w:r w:rsidR="00D968CD" w:rsidRPr="0005002C">
        <w:t>31%</w:t>
      </w:r>
      <w:r w:rsidR="000310D3" w:rsidRPr="0005002C">
        <w:t>)</w:t>
      </w:r>
      <w:r w:rsidR="0078195D" w:rsidRPr="0005002C">
        <w:t>, while the occupations that had the lowest proportion</w:t>
      </w:r>
      <w:r w:rsidR="00A56D91" w:rsidRPr="0005002C">
        <w:t xml:space="preserve"> of men were Human Resources (</w:t>
      </w:r>
      <w:r w:rsidR="00D968CD" w:rsidRPr="0005002C">
        <w:t>25%</w:t>
      </w:r>
      <w:r w:rsidR="00E9610F" w:rsidRPr="0005002C">
        <w:t xml:space="preserve">), </w:t>
      </w:r>
      <w:r w:rsidR="0005002C" w:rsidRPr="0005002C">
        <w:t>Administration (</w:t>
      </w:r>
      <w:r w:rsidR="00D968CD" w:rsidRPr="0005002C">
        <w:t xml:space="preserve">25%), </w:t>
      </w:r>
      <w:r w:rsidR="0078195D" w:rsidRPr="0005002C">
        <w:t>and Comm</w:t>
      </w:r>
      <w:r w:rsidR="000B7891" w:rsidRPr="0005002C">
        <w:t>unications and Marketing (</w:t>
      </w:r>
      <w:r w:rsidR="00D968CD" w:rsidRPr="0005002C">
        <w:t>27%</w:t>
      </w:r>
      <w:r w:rsidR="000B7891" w:rsidRPr="0005002C">
        <w:t>)</w:t>
      </w:r>
      <w:r w:rsidR="00133F0C">
        <w:t xml:space="preserve"> </w:t>
      </w:r>
      <w:r w:rsidR="00455932">
        <w:t>(</w:t>
      </w:r>
      <w:r w:rsidR="00133F0C" w:rsidRPr="00133F0C">
        <w:fldChar w:fldCharType="begin"/>
      </w:r>
      <w:r w:rsidR="00133F0C" w:rsidRPr="00133F0C">
        <w:instrText xml:space="preserve"> REF _Ref166595906 \h  \* MERGEFORMAT </w:instrText>
      </w:r>
      <w:r w:rsidR="00133F0C" w:rsidRPr="00133F0C">
        <w:fldChar w:fldCharType="separate"/>
      </w:r>
      <w:r w:rsidR="004166B9" w:rsidRPr="00FB63A8">
        <w:t xml:space="preserve">Figure </w:t>
      </w:r>
      <w:r w:rsidR="004166B9">
        <w:rPr>
          <w:noProof/>
        </w:rPr>
        <w:t>10</w:t>
      </w:r>
      <w:r w:rsidR="00133F0C" w:rsidRPr="00133F0C">
        <w:fldChar w:fldCharType="end"/>
      </w:r>
      <w:r w:rsidR="00455932">
        <w:t>)</w:t>
      </w:r>
      <w:r w:rsidR="000B7891" w:rsidRPr="00133F0C">
        <w:t>.</w:t>
      </w:r>
    </w:p>
    <w:p w14:paraId="07591210" w14:textId="70CFC1CF" w:rsidR="0081197A" w:rsidRPr="002D6579" w:rsidRDefault="00BB53D0" w:rsidP="001E51B4">
      <w:pPr>
        <w:pStyle w:val="Heading5"/>
      </w:pPr>
      <w:bookmarkStart w:id="930" w:name="_Ref166595906"/>
      <w:bookmarkStart w:id="931" w:name="_Ref166072123"/>
      <w:bookmarkStart w:id="932" w:name="_Toc168405559"/>
      <w:bookmarkStart w:id="933" w:name="_Toc168408708"/>
      <w:bookmarkStart w:id="934" w:name="_Toc168410998"/>
      <w:bookmarkStart w:id="935" w:name="_Toc168586010"/>
      <w:bookmarkStart w:id="936" w:name="_Toc168586445"/>
      <w:bookmarkStart w:id="937" w:name="_Toc168405858"/>
      <w:bookmarkStart w:id="938" w:name="_Toc168473666"/>
      <w:bookmarkStart w:id="939" w:name="_Toc168471564"/>
      <w:bookmarkStart w:id="940" w:name="_Toc168484623"/>
      <w:bookmarkStart w:id="941" w:name="_Toc168495092"/>
      <w:bookmarkStart w:id="942" w:name="_Toc168495541"/>
      <w:bookmarkStart w:id="943" w:name="_Toc169278403"/>
      <w:bookmarkStart w:id="944" w:name="_Toc169536518"/>
      <w:bookmarkStart w:id="945" w:name="_Toc169708599"/>
      <w:bookmarkStart w:id="946" w:name="_Toc170138027"/>
      <w:bookmarkStart w:id="947" w:name="_Toc170140100"/>
      <w:bookmarkStart w:id="948" w:name="_Toc173857132"/>
      <w:r w:rsidRPr="00FB63A8">
        <w:t xml:space="preserve">Figure </w:t>
      </w:r>
      <w:r>
        <w:fldChar w:fldCharType="begin"/>
      </w:r>
      <w:r>
        <w:instrText>SEQ Figure \* ARABIC</w:instrText>
      </w:r>
      <w:r>
        <w:fldChar w:fldCharType="separate"/>
      </w:r>
      <w:r w:rsidR="004166B9">
        <w:rPr>
          <w:noProof/>
        </w:rPr>
        <w:t>10</w:t>
      </w:r>
      <w:r>
        <w:fldChar w:fldCharType="end"/>
      </w:r>
      <w:bookmarkEnd w:id="930"/>
      <w:r w:rsidRPr="00FB63A8">
        <w:t xml:space="preserve"> </w:t>
      </w:r>
      <w:r w:rsidR="00513BD2">
        <w:t>Gender composition of APS j</w:t>
      </w:r>
      <w:r w:rsidR="00CA1FD8">
        <w:t>ob families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223F4BAC" w14:textId="4D7E41B8" w:rsidR="00D92FB3" w:rsidRDefault="00D92FB3" w:rsidP="00D92FB3">
      <w:bookmarkStart w:id="949" w:name="_Toc168329192"/>
      <w:bookmarkStart w:id="950" w:name="_Toc168322849"/>
      <w:bookmarkStart w:id="951" w:name="_Toc168387965"/>
      <w:bookmarkStart w:id="952" w:name="_Toc168405620"/>
      <w:bookmarkStart w:id="953" w:name="_Toc168408658"/>
      <w:bookmarkStart w:id="954" w:name="_Toc168411060"/>
      <w:bookmarkStart w:id="955" w:name="_Toc168405919"/>
      <w:bookmarkStart w:id="956" w:name="_Toc168473727"/>
      <w:bookmarkStart w:id="957" w:name="_Toc168471625"/>
      <w:bookmarkStart w:id="958" w:name="_Toc168484685"/>
      <w:bookmarkStart w:id="959" w:name="_Toc168495153"/>
      <w:bookmarkStart w:id="960" w:name="_Toc168495602"/>
      <w:bookmarkStart w:id="961" w:name="_Toc169103270"/>
      <w:bookmarkStart w:id="962" w:name="_Toc169104744"/>
      <w:bookmarkStart w:id="963" w:name="_Toc169278460"/>
      <w:bookmarkStart w:id="964" w:name="_Toc169536899"/>
      <w:bookmarkStart w:id="965" w:name="_Toc169708647"/>
      <w:bookmarkStart w:id="966" w:name="_Toc170119691"/>
      <w:bookmarkStart w:id="967" w:name="_Toc170138074"/>
      <w:bookmarkStart w:id="968" w:name="_Toc170140147"/>
      <w:r>
        <w:rPr>
          <w:noProof/>
          <w:lang w:eastAsia="en-AU"/>
        </w:rPr>
        <w:drawing>
          <wp:inline distT="0" distB="0" distL="0" distR="0" wp14:anchorId="7A1265D1" wp14:editId="3E8C8197">
            <wp:extent cx="5759450" cy="3708000"/>
            <wp:effectExtent l="0" t="0" r="0" b="6985"/>
            <wp:docPr id="16" name="Chart 16" descr="APS Empoyee census data of the gender composition of job families" title="Figure 10 Gender composition of APS job famil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0B46E73" w14:textId="0122A905" w:rsidR="002E0182" w:rsidRDefault="002E0182" w:rsidP="002E0182">
      <w:pPr>
        <w:rPr>
          <w:sz w:val="16"/>
          <w:szCs w:val="16"/>
        </w:rPr>
      </w:pPr>
      <w:r w:rsidRPr="005662A8">
        <w:rPr>
          <w:sz w:val="16"/>
          <w:szCs w:val="16"/>
        </w:rPr>
        <w:t xml:space="preserve">Source: </w:t>
      </w:r>
      <w:r w:rsidRPr="008862E6">
        <w:rPr>
          <w:sz w:val="16"/>
          <w:szCs w:val="16"/>
        </w:rPr>
        <w:t>AP</w:t>
      </w:r>
      <w:r w:rsidRPr="008717FA">
        <w:rPr>
          <w:sz w:val="16"/>
          <w:szCs w:val="16"/>
        </w:rPr>
        <w:t>S Employee Census 2023</w:t>
      </w:r>
      <w:r>
        <w:rPr>
          <w:sz w:val="16"/>
          <w:szCs w:val="16"/>
        </w:rPr>
        <w:t>.</w:t>
      </w:r>
    </w:p>
    <w:p w14:paraId="09D73299" w14:textId="768D0CC2" w:rsidR="00D47990" w:rsidRDefault="00A3240E" w:rsidP="00D95603">
      <w:pPr>
        <w:pStyle w:val="Heading3"/>
      </w:pPr>
      <w:r>
        <w:lastRenderedPageBreak/>
        <w:t>Agency efforts to strengthen gender representation in select occupations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5FE8839F" w14:textId="705D50AE" w:rsidR="0051706B" w:rsidRPr="001C22E0" w:rsidRDefault="0051706B" w:rsidP="00F039D2">
      <w:r w:rsidRPr="001C22E0">
        <w:t>The GES Survey asked agencies</w:t>
      </w:r>
      <w:r w:rsidR="007A3D79">
        <w:t xml:space="preserve"> </w:t>
      </w:r>
      <w:r w:rsidR="007F5B1B">
        <w:t>how</w:t>
      </w:r>
      <w:r w:rsidR="007A3D79">
        <w:t xml:space="preserve"> they had</w:t>
      </w:r>
      <w:r w:rsidRPr="001C22E0">
        <w:t xml:space="preserve"> created opportunities in the last</w:t>
      </w:r>
      <w:r w:rsidR="00A62197">
        <w:t xml:space="preserve"> </w:t>
      </w:r>
      <w:r w:rsidR="00B54D2D">
        <w:t>2</w:t>
      </w:r>
      <w:r w:rsidRPr="001C22E0">
        <w:t xml:space="preserve"> years to strengthen gender representation in select occupations such as STEM and Service Deliver</w:t>
      </w:r>
      <w:r w:rsidR="00105B58" w:rsidRPr="001C22E0">
        <w:t>y</w:t>
      </w:r>
      <w:r w:rsidR="005C02DC" w:rsidRPr="001C22E0">
        <w:t xml:space="preserve"> </w:t>
      </w:r>
      <w:r w:rsidR="00455932">
        <w:t>(</w:t>
      </w:r>
      <w:r w:rsidR="005C02DC" w:rsidRPr="001C22E0">
        <w:fldChar w:fldCharType="begin"/>
      </w:r>
      <w:r w:rsidR="005C02DC" w:rsidRPr="001C22E0">
        <w:instrText xml:space="preserve"> REF _Ref166166109 \h  \* MERGEFORMAT </w:instrText>
      </w:r>
      <w:r w:rsidR="005C02DC" w:rsidRPr="001C22E0">
        <w:fldChar w:fldCharType="separate"/>
      </w:r>
      <w:r w:rsidR="002B65E2" w:rsidRPr="00D91382">
        <w:t xml:space="preserve">Figure </w:t>
      </w:r>
      <w:r w:rsidR="002B65E2">
        <w:rPr>
          <w:noProof/>
        </w:rPr>
        <w:t>11</w:t>
      </w:r>
      <w:r w:rsidR="005C02DC" w:rsidRPr="001C22E0">
        <w:fldChar w:fldCharType="end"/>
      </w:r>
      <w:r w:rsidR="00455932">
        <w:t>)</w:t>
      </w:r>
      <w:r w:rsidR="00105B58" w:rsidRPr="001C22E0">
        <w:t xml:space="preserve">. The most common response was </w:t>
      </w:r>
      <w:r w:rsidR="009637D8" w:rsidRPr="001C22E0">
        <w:t>creating</w:t>
      </w:r>
      <w:r w:rsidR="00C17125" w:rsidRPr="001C22E0">
        <w:t xml:space="preserve"> opportunities </w:t>
      </w:r>
      <w:r w:rsidRPr="001C22E0">
        <w:t xml:space="preserve">through </w:t>
      </w:r>
      <w:r w:rsidR="005C02DC" w:rsidRPr="001C22E0">
        <w:t xml:space="preserve">general </w:t>
      </w:r>
      <w:r w:rsidRPr="001C22E0">
        <w:t xml:space="preserve">recruitment </w:t>
      </w:r>
      <w:r w:rsidR="005C02DC" w:rsidRPr="001C22E0">
        <w:t>and recruitment processes (32</w:t>
      </w:r>
      <w:r w:rsidR="00105B58" w:rsidRPr="001C22E0">
        <w:t xml:space="preserve">%), which </w:t>
      </w:r>
      <w:r w:rsidR="00231BC3">
        <w:t xml:space="preserve">included </w:t>
      </w:r>
      <w:r w:rsidRPr="001C22E0">
        <w:t>gender-balanced selection panels,</w:t>
      </w:r>
      <w:r w:rsidR="00105B58" w:rsidRPr="001C22E0">
        <w:t xml:space="preserve"> using</w:t>
      </w:r>
      <w:r w:rsidRPr="001C22E0">
        <w:t xml:space="preserve"> </w:t>
      </w:r>
      <w:r w:rsidR="00A06DB7" w:rsidRPr="001C22E0">
        <w:t xml:space="preserve">inclusive language in job advertisements and marketing content </w:t>
      </w:r>
      <w:r w:rsidR="00105B58" w:rsidRPr="001C22E0">
        <w:t>that reflects</w:t>
      </w:r>
      <w:r w:rsidR="00A06DB7" w:rsidRPr="001C22E0">
        <w:t xml:space="preserve"> the diversity of staff.</w:t>
      </w:r>
      <w:r w:rsidRPr="001C22E0">
        <w:t xml:space="preserve"> </w:t>
      </w:r>
      <w:r w:rsidR="005C02DC" w:rsidRPr="001C22E0">
        <w:t>2</w:t>
      </w:r>
      <w:r w:rsidR="00CB1A6D">
        <w:t>3</w:t>
      </w:r>
      <w:r w:rsidR="00CA61E1">
        <w:t>%</w:t>
      </w:r>
      <w:r w:rsidR="00B54D2D">
        <w:t xml:space="preserve"> of responding</w:t>
      </w:r>
      <w:r w:rsidR="00CA61E1">
        <w:t xml:space="preserve"> agencies</w:t>
      </w:r>
      <w:r w:rsidR="009637D8" w:rsidRPr="001C22E0">
        <w:t xml:space="preserve"> </w:t>
      </w:r>
      <w:r w:rsidRPr="001C22E0">
        <w:t>targeted</w:t>
      </w:r>
      <w:r w:rsidR="00A41B91">
        <w:t xml:space="preserve"> entry-level</w:t>
      </w:r>
      <w:r w:rsidRPr="001C22E0">
        <w:t xml:space="preserve"> </w:t>
      </w:r>
      <w:r w:rsidR="00105B58" w:rsidRPr="001C22E0">
        <w:t>recruitment of</w:t>
      </w:r>
      <w:r w:rsidRPr="001C22E0">
        <w:t xml:space="preserve"> graduates, </w:t>
      </w:r>
      <w:r w:rsidR="00A41B91">
        <w:t>trainees,</w:t>
      </w:r>
      <w:r w:rsidRPr="001C22E0">
        <w:t xml:space="preserve"> interns </w:t>
      </w:r>
      <w:r w:rsidR="00945172">
        <w:t>and</w:t>
      </w:r>
      <w:r w:rsidRPr="001C22E0">
        <w:t xml:space="preserve"> cadets </w:t>
      </w:r>
      <w:r w:rsidR="00945172">
        <w:t>in select occupations</w:t>
      </w:r>
      <w:r w:rsidRPr="001C22E0">
        <w:t>.</w:t>
      </w:r>
      <w:r w:rsidR="001F6C3D">
        <w:t xml:space="preserve"> </w:t>
      </w:r>
      <w:r w:rsidR="00513BD2">
        <w:t>Fewer (</w:t>
      </w:r>
      <w:r w:rsidR="00D16709">
        <w:t>16%</w:t>
      </w:r>
      <w:r w:rsidR="00513BD2">
        <w:t>)</w:t>
      </w:r>
      <w:r w:rsidR="00D16709">
        <w:t xml:space="preserve"> stated that gender representation was not an issue across their agencies</w:t>
      </w:r>
      <w:r w:rsidR="00513BD2">
        <w:t xml:space="preserve"> or that </w:t>
      </w:r>
      <w:r w:rsidR="001F6C3D">
        <w:t>they had</w:t>
      </w:r>
      <w:r w:rsidR="00757E2E">
        <w:t xml:space="preserve"> not</w:t>
      </w:r>
      <w:r w:rsidR="001F6C3D">
        <w:t xml:space="preserve"> created any opportunities in the last 2 years.</w:t>
      </w:r>
      <w:r w:rsidR="000226F6">
        <w:t xml:space="preserve"> </w:t>
      </w:r>
    </w:p>
    <w:p w14:paraId="6E60578D" w14:textId="4FA8A29F" w:rsidR="002F42A9" w:rsidRDefault="005C02DC" w:rsidP="002F42A9">
      <w:pPr>
        <w:pStyle w:val="Heading5"/>
        <w:rPr>
          <w:i/>
        </w:rPr>
      </w:pPr>
      <w:bookmarkStart w:id="969" w:name="_Ref166166109"/>
      <w:bookmarkStart w:id="970" w:name="_Toc169278405"/>
      <w:bookmarkStart w:id="971" w:name="_Toc169536520"/>
      <w:bookmarkStart w:id="972" w:name="_Toc169708601"/>
      <w:bookmarkStart w:id="973" w:name="_Toc170138029"/>
      <w:bookmarkStart w:id="974" w:name="_Toc170140102"/>
      <w:bookmarkStart w:id="975" w:name="_Toc173857133"/>
      <w:bookmarkStart w:id="976" w:name="_Toc168405560"/>
      <w:bookmarkStart w:id="977" w:name="_Toc168408709"/>
      <w:bookmarkStart w:id="978" w:name="_Toc168410999"/>
      <w:bookmarkStart w:id="979" w:name="_Toc168405859"/>
      <w:bookmarkStart w:id="980" w:name="_Toc168473667"/>
      <w:bookmarkStart w:id="981" w:name="_Toc168471565"/>
      <w:bookmarkStart w:id="982" w:name="_Toc168484625"/>
      <w:bookmarkStart w:id="983" w:name="_Toc168495094"/>
      <w:bookmarkStart w:id="984" w:name="_Toc168495543"/>
      <w:bookmarkStart w:id="985" w:name="_Toc168586012"/>
      <w:bookmarkStart w:id="986" w:name="_Toc168586447"/>
      <w:r w:rsidRPr="00D91382">
        <w:t xml:space="preserve">Figure </w:t>
      </w:r>
      <w:r>
        <w:fldChar w:fldCharType="begin"/>
      </w:r>
      <w:r>
        <w:instrText>SEQ Figure \* ARABIC</w:instrText>
      </w:r>
      <w:r>
        <w:fldChar w:fldCharType="separate"/>
      </w:r>
      <w:r w:rsidR="002B65E2">
        <w:rPr>
          <w:noProof/>
        </w:rPr>
        <w:t>11</w:t>
      </w:r>
      <w:r>
        <w:fldChar w:fldCharType="end"/>
      </w:r>
      <w:bookmarkEnd w:id="969"/>
      <w:r w:rsidRPr="00D91382">
        <w:t xml:space="preserve"> Ways agencies </w:t>
      </w:r>
      <w:r>
        <w:t>created opportunities to strengthen gender representation in occupation</w:t>
      </w:r>
      <w:r w:rsidR="0073369E">
        <w:rPr>
          <w:i/>
        </w:rPr>
        <w:t>s</w:t>
      </w:r>
      <w:bookmarkEnd w:id="970"/>
      <w:bookmarkEnd w:id="971"/>
      <w:bookmarkEnd w:id="972"/>
      <w:bookmarkEnd w:id="973"/>
      <w:bookmarkEnd w:id="974"/>
      <w:bookmarkEnd w:id="975"/>
      <w:r>
        <w:rPr>
          <w:i/>
        </w:rPr>
        <w:t xml:space="preserve"> </w:t>
      </w:r>
      <w:bookmarkEnd w:id="976"/>
      <w:bookmarkEnd w:id="977"/>
      <w:bookmarkEnd w:id="978"/>
      <w:bookmarkEnd w:id="979"/>
      <w:bookmarkEnd w:id="980"/>
      <w:bookmarkEnd w:id="981"/>
      <w:bookmarkEnd w:id="982"/>
      <w:bookmarkEnd w:id="983"/>
      <w:bookmarkEnd w:id="984"/>
      <w:bookmarkEnd w:id="985"/>
      <w:bookmarkEnd w:id="986"/>
    </w:p>
    <w:p w14:paraId="5B9C04B2" w14:textId="1AA0803B" w:rsidR="00B36C59" w:rsidRDefault="002F42A9" w:rsidP="2BEEF1D4">
      <w:pPr>
        <w:rPr>
          <w:i/>
          <w:iCs/>
        </w:rPr>
      </w:pPr>
      <w:r>
        <w:rPr>
          <w:noProof/>
          <w:lang w:eastAsia="en-AU"/>
        </w:rPr>
        <w:drawing>
          <wp:inline distT="0" distB="0" distL="0" distR="0" wp14:anchorId="1A640E35" wp14:editId="075E5D7D">
            <wp:extent cx="5759450" cy="2880000"/>
            <wp:effectExtent l="0" t="0" r="0" b="0"/>
            <wp:docPr id="25" name="Chart 25" descr="2024 GES Survey data on Ways agencies created opportunities to strengthen gender representation in occupations " title="Figure 11 Ways agencies created opportunities to strengthen gender representation in occup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11D29C4" w14:textId="09C46753" w:rsidR="002E3A32" w:rsidRPr="005662A8" w:rsidRDefault="002E3A32" w:rsidP="002E3A32">
      <w:pPr>
        <w:rPr>
          <w:sz w:val="16"/>
          <w:szCs w:val="16"/>
        </w:rPr>
      </w:pPr>
      <w:r w:rsidRPr="005662A8">
        <w:rPr>
          <w:sz w:val="16"/>
          <w:szCs w:val="16"/>
        </w:rPr>
        <w:t xml:space="preserve">Source: </w:t>
      </w:r>
      <w:r w:rsidR="00876F89">
        <w:rPr>
          <w:sz w:val="16"/>
          <w:szCs w:val="16"/>
        </w:rPr>
        <w:t xml:space="preserve">2024 </w:t>
      </w:r>
      <w:r w:rsidR="008A3BB3">
        <w:rPr>
          <w:sz w:val="16"/>
          <w:szCs w:val="16"/>
        </w:rPr>
        <w:t>GES</w:t>
      </w:r>
      <w:r>
        <w:rPr>
          <w:sz w:val="16"/>
          <w:szCs w:val="16"/>
        </w:rPr>
        <w:t xml:space="preserve"> Survey</w:t>
      </w:r>
      <w:r w:rsidR="00876F89">
        <w:rPr>
          <w:sz w:val="16"/>
          <w:szCs w:val="16"/>
        </w:rPr>
        <w:t>.</w:t>
      </w:r>
    </w:p>
    <w:p w14:paraId="4B2F2340" w14:textId="168B0FBF" w:rsidR="0035200E" w:rsidRDefault="005E6644" w:rsidP="0035200E">
      <w:r>
        <w:t xml:space="preserve">Relevant </w:t>
      </w:r>
      <w:r w:rsidR="0035200E">
        <w:t xml:space="preserve">agencies provided </w:t>
      </w:r>
      <w:r>
        <w:t xml:space="preserve">their </w:t>
      </w:r>
      <w:r w:rsidR="0035200E">
        <w:t>reasons for not strengthening gender representation opportunities, with some</w:t>
      </w:r>
      <w:r w:rsidR="005411B9">
        <w:t xml:space="preserve"> indicatin</w:t>
      </w:r>
      <w:r>
        <w:t xml:space="preserve">g a </w:t>
      </w:r>
      <w:r w:rsidR="007F5B1B">
        <w:t>focus</w:t>
      </w:r>
      <w:r w:rsidR="0035200E">
        <w:t xml:space="preserve"> on the under representation of women and not men in select occupations.</w:t>
      </w:r>
      <w:r w:rsidRPr="005E6644">
        <w:t xml:space="preserve"> </w:t>
      </w:r>
      <w:r w:rsidR="0017696C">
        <w:t xml:space="preserve">WGEA’s </w:t>
      </w:r>
      <w:r w:rsidRPr="0017696C">
        <w:rPr>
          <w:i/>
        </w:rPr>
        <w:t>2022 Commonwealth Public Sector Gender Equality Snapshot</w:t>
      </w:r>
      <w:r>
        <w:t xml:space="preserve"> has also indicated that </w:t>
      </w:r>
      <w:r w:rsidR="00C76EE9">
        <w:t xml:space="preserve">Commonwealth </w:t>
      </w:r>
      <w:r w:rsidR="00AC3599">
        <w:t>entities</w:t>
      </w:r>
      <w:r>
        <w:t xml:space="preserve"> rarely set targets to increase men’s representation in roles dominated by women.</w:t>
      </w:r>
      <w:r w:rsidR="007F3B7C">
        <w:rPr>
          <w:rStyle w:val="FootnoteReference"/>
        </w:rPr>
        <w:footnoteReference w:id="15"/>
      </w:r>
      <w:r w:rsidR="0035200E">
        <w:t xml:space="preserve"> </w:t>
      </w:r>
      <w:r w:rsidR="00895D80">
        <w:t xml:space="preserve">10% of </w:t>
      </w:r>
      <w:r>
        <w:t xml:space="preserve">agencies </w:t>
      </w:r>
      <w:r w:rsidR="0035200E">
        <w:t>reported</w:t>
      </w:r>
      <w:r w:rsidR="0035200E" w:rsidRPr="001C22E0">
        <w:t xml:space="preserve"> already meeting targets for gender representation at senior leadership levels</w:t>
      </w:r>
      <w:r>
        <w:t xml:space="preserve"> or having </w:t>
      </w:r>
      <w:r w:rsidR="0035200E" w:rsidRPr="001C22E0">
        <w:t xml:space="preserve">an over-representation of women in select </w:t>
      </w:r>
      <w:r w:rsidR="0035200E" w:rsidRPr="00BF487B">
        <w:t>occupations</w:t>
      </w:r>
      <w:r w:rsidR="0035200E" w:rsidRPr="001C22E0">
        <w:t xml:space="preserve">. </w:t>
      </w:r>
      <w:r>
        <w:t>Fewer (</w:t>
      </w:r>
      <w:r w:rsidR="0035200E" w:rsidRPr="001C22E0">
        <w:t>6%</w:t>
      </w:r>
      <w:r>
        <w:t>)</w:t>
      </w:r>
      <w:r w:rsidR="0035200E" w:rsidRPr="001C22E0">
        <w:t xml:space="preserve"> agencies did not</w:t>
      </w:r>
      <w:r w:rsidR="0035200E">
        <w:t xml:space="preserve"> target</w:t>
      </w:r>
      <w:r w:rsidR="0035200E" w:rsidRPr="001C22E0">
        <w:t xml:space="preserve"> gender representation </w:t>
      </w:r>
      <w:r w:rsidR="0035200E">
        <w:t>in select occupations</w:t>
      </w:r>
      <w:r w:rsidR="0035200E" w:rsidRPr="001C22E0">
        <w:t xml:space="preserve"> as they</w:t>
      </w:r>
      <w:r w:rsidR="0035200E">
        <w:t xml:space="preserve"> were satisfied that they had appropriate levels of </w:t>
      </w:r>
      <w:r w:rsidR="0035200E" w:rsidRPr="001C22E0">
        <w:t>gender representation within their agencies.</w:t>
      </w:r>
    </w:p>
    <w:p w14:paraId="1101F6A6" w14:textId="44E25E14" w:rsidR="00397C72" w:rsidRDefault="00F23C25" w:rsidP="00F039D2">
      <w:r>
        <w:t xml:space="preserve">The GES Survey </w:t>
      </w:r>
      <w:r w:rsidR="00F97D78">
        <w:t>asked</w:t>
      </w:r>
      <w:r w:rsidR="00357A9D">
        <w:t xml:space="preserve"> agencies</w:t>
      </w:r>
      <w:r w:rsidR="00F97D78">
        <w:t xml:space="preserve"> </w:t>
      </w:r>
      <w:r w:rsidR="001F7A06">
        <w:t>to report</w:t>
      </w:r>
      <w:r w:rsidR="00F97D78">
        <w:t xml:space="preserve"> </w:t>
      </w:r>
      <w:r w:rsidR="00F97D78" w:rsidRPr="00F97D78">
        <w:t xml:space="preserve">the </w:t>
      </w:r>
      <w:r w:rsidR="00455932">
        <w:t xml:space="preserve">key initiatives </w:t>
      </w:r>
      <w:r w:rsidR="00F97D78">
        <w:t xml:space="preserve">implemented </w:t>
      </w:r>
      <w:r w:rsidR="00F97D78" w:rsidRPr="00F97D78">
        <w:t>to strengthen</w:t>
      </w:r>
      <w:r>
        <w:t xml:space="preserve"> </w:t>
      </w:r>
      <w:r w:rsidR="00F97D78" w:rsidRPr="00F97D78">
        <w:t>gender repres</w:t>
      </w:r>
      <w:r w:rsidR="00F97D78">
        <w:t>entation in select occupations</w:t>
      </w:r>
      <w:r>
        <w:t xml:space="preserve"> such as STEM and Service Delivery</w:t>
      </w:r>
      <w:r w:rsidR="009C401A">
        <w:t>, specifically in a recruitment context</w:t>
      </w:r>
      <w:r w:rsidR="00455932">
        <w:t xml:space="preserve"> (</w:t>
      </w:r>
      <w:r w:rsidR="00EC6878" w:rsidRPr="001C22E0">
        <w:fldChar w:fldCharType="begin"/>
      </w:r>
      <w:r w:rsidR="00EC6878" w:rsidRPr="001C22E0">
        <w:instrText xml:space="preserve"> REF _Ref166486478 \h </w:instrText>
      </w:r>
      <w:r w:rsidR="001C22E0">
        <w:instrText xml:space="preserve"> \* MERGEFORMAT </w:instrText>
      </w:r>
      <w:r w:rsidR="00EC6878" w:rsidRPr="001C22E0">
        <w:fldChar w:fldCharType="separate"/>
      </w:r>
      <w:r w:rsidR="002B65E2" w:rsidRPr="00D91382">
        <w:t xml:space="preserve">Figure </w:t>
      </w:r>
      <w:r w:rsidR="002B65E2">
        <w:t>12</w:t>
      </w:r>
      <w:r w:rsidR="00EC6878" w:rsidRPr="001C22E0">
        <w:fldChar w:fldCharType="end"/>
      </w:r>
      <w:r w:rsidR="00455932">
        <w:t>)</w:t>
      </w:r>
      <w:r w:rsidR="009303AD" w:rsidRPr="001C22E0">
        <w:t>.</w:t>
      </w:r>
      <w:r>
        <w:t xml:space="preserve"> </w:t>
      </w:r>
      <w:r w:rsidR="00333402">
        <w:t>17</w:t>
      </w:r>
      <w:r w:rsidR="009303AD">
        <w:t>%</w:t>
      </w:r>
      <w:r>
        <w:t xml:space="preserve"> </w:t>
      </w:r>
      <w:r w:rsidR="003F76BF">
        <w:t>applied a conscious and focused effort to maintain</w:t>
      </w:r>
      <w:r>
        <w:t xml:space="preserve"> </w:t>
      </w:r>
      <w:r w:rsidR="003F76BF">
        <w:t>and monitor equal gender</w:t>
      </w:r>
      <w:r>
        <w:t xml:space="preserve"> </w:t>
      </w:r>
      <w:r w:rsidR="009303AD">
        <w:lastRenderedPageBreak/>
        <w:t>representation</w:t>
      </w:r>
      <w:r>
        <w:t xml:space="preserve"> in these </w:t>
      </w:r>
      <w:r w:rsidR="001C22E0">
        <w:t>select occupations</w:t>
      </w:r>
      <w:r>
        <w:t>, especially in senior leadership roles</w:t>
      </w:r>
      <w:r w:rsidR="00455932">
        <w:t>.</w:t>
      </w:r>
      <w:r w:rsidR="00EC6878">
        <w:t xml:space="preserve"> </w:t>
      </w:r>
      <w:r w:rsidR="00E42435">
        <w:t xml:space="preserve">12% </w:t>
      </w:r>
      <w:r w:rsidR="00A55D38">
        <w:t xml:space="preserve">reported </w:t>
      </w:r>
      <w:r w:rsidR="009303AD">
        <w:t>creat</w:t>
      </w:r>
      <w:r w:rsidR="00A55D38">
        <w:t>ing</w:t>
      </w:r>
      <w:r w:rsidR="009303AD">
        <w:t xml:space="preserve"> a tal</w:t>
      </w:r>
      <w:r w:rsidR="00EC6878">
        <w:t>ent pipeline</w:t>
      </w:r>
      <w:r w:rsidR="00A55D38">
        <w:t>s, and specifically recruiting employees</w:t>
      </w:r>
      <w:r w:rsidR="009303AD" w:rsidRPr="009303AD">
        <w:t xml:space="preserve"> </w:t>
      </w:r>
      <w:r w:rsidR="0022289C">
        <w:t>through</w:t>
      </w:r>
      <w:r w:rsidR="009303AD" w:rsidRPr="009303AD">
        <w:t xml:space="preserve"> specialist </w:t>
      </w:r>
      <w:r w:rsidR="00A55D38">
        <w:t>streams of</w:t>
      </w:r>
      <w:r w:rsidR="009303AD" w:rsidRPr="009303AD">
        <w:t xml:space="preserve"> gradu</w:t>
      </w:r>
      <w:r w:rsidR="009303AD">
        <w:t>ate and entry level programs</w:t>
      </w:r>
      <w:r w:rsidR="009C401A">
        <w:t xml:space="preserve"> </w:t>
      </w:r>
      <w:r w:rsidR="00A55D38">
        <w:t>as a mechanism for further supporting these talent pipelines</w:t>
      </w:r>
      <w:r w:rsidR="009303AD">
        <w:t xml:space="preserve">. </w:t>
      </w:r>
      <w:r w:rsidR="00EC6878">
        <w:t xml:space="preserve">9% </w:t>
      </w:r>
      <w:r w:rsidR="007F7B3D">
        <w:t>reported</w:t>
      </w:r>
      <w:r w:rsidR="009303AD">
        <w:t xml:space="preserve"> having gend</w:t>
      </w:r>
      <w:r w:rsidR="00EC6878">
        <w:t>er</w:t>
      </w:r>
      <w:r w:rsidR="005E6644">
        <w:t>-</w:t>
      </w:r>
      <w:r w:rsidR="00EC6878">
        <w:t>balanced selection panels</w:t>
      </w:r>
      <w:r w:rsidR="009303AD">
        <w:t xml:space="preserve"> and </w:t>
      </w:r>
      <w:r w:rsidR="00341036">
        <w:t xml:space="preserve">8% reported undertaking </w:t>
      </w:r>
      <w:r w:rsidR="009303AD">
        <w:t>workforce succession planning</w:t>
      </w:r>
      <w:r w:rsidR="00341036">
        <w:t>.</w:t>
      </w:r>
    </w:p>
    <w:p w14:paraId="53AB1E51" w14:textId="2DF38F58" w:rsidR="00B36C59" w:rsidRDefault="00EC6878" w:rsidP="000074EF">
      <w:pPr>
        <w:pStyle w:val="Heading5"/>
      </w:pPr>
      <w:bookmarkStart w:id="987" w:name="_Ref166486478"/>
      <w:bookmarkStart w:id="988" w:name="_Toc173857134"/>
      <w:bookmarkStart w:id="989" w:name="_Toc168405561"/>
      <w:bookmarkStart w:id="990" w:name="_Toc168408710"/>
      <w:bookmarkStart w:id="991" w:name="_Toc168411000"/>
      <w:bookmarkStart w:id="992" w:name="_Toc168405860"/>
      <w:bookmarkStart w:id="993" w:name="_Toc168473668"/>
      <w:bookmarkStart w:id="994" w:name="_Toc168471566"/>
      <w:bookmarkStart w:id="995" w:name="_Toc168484626"/>
      <w:bookmarkStart w:id="996" w:name="_Toc168495095"/>
      <w:bookmarkStart w:id="997" w:name="_Toc168495544"/>
      <w:bookmarkStart w:id="998" w:name="_Toc168586013"/>
      <w:bookmarkStart w:id="999" w:name="_Toc168586448"/>
      <w:bookmarkStart w:id="1000" w:name="_Toc169278406"/>
      <w:bookmarkStart w:id="1001" w:name="_Toc169536521"/>
      <w:bookmarkStart w:id="1002" w:name="_Toc169708602"/>
      <w:bookmarkStart w:id="1003" w:name="_Toc170138030"/>
      <w:bookmarkStart w:id="1004" w:name="_Toc170140103"/>
      <w:r w:rsidRPr="00D91382">
        <w:t xml:space="preserve">Figure </w:t>
      </w:r>
      <w:r>
        <w:fldChar w:fldCharType="begin"/>
      </w:r>
      <w:r>
        <w:instrText>SEQ Figure \* ARABIC</w:instrText>
      </w:r>
      <w:r>
        <w:fldChar w:fldCharType="separate"/>
      </w:r>
      <w:r w:rsidR="002B65E2">
        <w:rPr>
          <w:noProof/>
        </w:rPr>
        <w:t>12</w:t>
      </w:r>
      <w:r>
        <w:fldChar w:fldCharType="end"/>
      </w:r>
      <w:bookmarkEnd w:id="987"/>
      <w:r w:rsidRPr="00D91382">
        <w:t xml:space="preserve"> </w:t>
      </w:r>
      <w:r w:rsidR="00397C72">
        <w:t>M</w:t>
      </w:r>
      <w:r w:rsidR="00F039D2">
        <w:t>ost prominent opportunities</w:t>
      </w:r>
      <w:r w:rsidR="00397C72">
        <w:t xml:space="preserve"> implemented </w:t>
      </w:r>
      <w:r w:rsidR="00397C72" w:rsidRPr="00397C72">
        <w:t>to strengthen gender representation in sele</w:t>
      </w:r>
      <w:r w:rsidR="00397C72">
        <w:t>ct occupations</w:t>
      </w:r>
      <w:bookmarkEnd w:id="988"/>
      <w:r w:rsidR="00397C72">
        <w:t xml:space="preserve"> </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684856D6" w14:textId="26DC41FD" w:rsidR="009C401A" w:rsidRDefault="009C401A" w:rsidP="00623833">
      <w:r>
        <w:rPr>
          <w:noProof/>
          <w:lang w:eastAsia="en-AU"/>
        </w:rPr>
        <w:drawing>
          <wp:inline distT="0" distB="0" distL="0" distR="0" wp14:anchorId="6ADC4C24" wp14:editId="6D3200BB">
            <wp:extent cx="5759450" cy="2664000"/>
            <wp:effectExtent l="0" t="0" r="0" b="3175"/>
            <wp:docPr id="26" name="Chart 26" descr="GED Survey data on most prominent opportunities implemented to strengthen gender representation in select occupations " title="Figure 12 Most prominent opportunities implemented to strengthen gender representation in select occup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9AD5F6C" w14:textId="52986597" w:rsidR="002E3A32" w:rsidRDefault="002E3A32" w:rsidP="002E3A32">
      <w:pPr>
        <w:rPr>
          <w:sz w:val="16"/>
          <w:szCs w:val="16"/>
        </w:rPr>
      </w:pPr>
      <w:r w:rsidRPr="005662A8">
        <w:rPr>
          <w:sz w:val="16"/>
          <w:szCs w:val="16"/>
        </w:rPr>
        <w:t xml:space="preserve">Source: </w:t>
      </w:r>
      <w:r w:rsidR="00876F89">
        <w:rPr>
          <w:sz w:val="16"/>
          <w:szCs w:val="16"/>
        </w:rPr>
        <w:t xml:space="preserve">2024 </w:t>
      </w:r>
      <w:r w:rsidR="008A3BB3">
        <w:rPr>
          <w:sz w:val="16"/>
          <w:szCs w:val="16"/>
        </w:rPr>
        <w:t>GES</w:t>
      </w:r>
      <w:r>
        <w:rPr>
          <w:sz w:val="16"/>
          <w:szCs w:val="16"/>
        </w:rPr>
        <w:t xml:space="preserve"> Survey</w:t>
      </w:r>
      <w:r w:rsidR="00876F89">
        <w:rPr>
          <w:sz w:val="16"/>
          <w:szCs w:val="16"/>
        </w:rPr>
        <w:t>.</w:t>
      </w:r>
    </w:p>
    <w:p w14:paraId="3B7E3AAE" w14:textId="1E980D5B" w:rsidR="00CD05A9" w:rsidRDefault="00CD05A9" w:rsidP="002E3A32">
      <w:pPr>
        <w:rPr>
          <w:szCs w:val="20"/>
        </w:rPr>
      </w:pPr>
      <w:r>
        <w:rPr>
          <w:szCs w:val="20"/>
        </w:rPr>
        <w:t>The Department of Defence for example has created a special program target</w:t>
      </w:r>
      <w:r w:rsidR="00316261">
        <w:rPr>
          <w:szCs w:val="20"/>
        </w:rPr>
        <w:t>ing</w:t>
      </w:r>
      <w:r>
        <w:rPr>
          <w:szCs w:val="20"/>
        </w:rPr>
        <w:t xml:space="preserve"> high calibre mid-career STEM researchers:</w:t>
      </w:r>
    </w:p>
    <w:p w14:paraId="61341750" w14:textId="77777777" w:rsidR="00581D42" w:rsidRDefault="00CD05A9" w:rsidP="00CD05A9">
      <w:pPr>
        <w:ind w:left="720"/>
        <w:rPr>
          <w:color w:val="053A68" w:themeColor="text2"/>
          <w:sz w:val="26"/>
        </w:rPr>
      </w:pPr>
      <w:r w:rsidRPr="00CD05A9">
        <w:rPr>
          <w:color w:val="053A68" w:themeColor="text2"/>
          <w:sz w:val="26"/>
        </w:rPr>
        <w:t xml:space="preserve">The NAVIGATE program is a dedicated science and technology pathway designed to enable high performing STEM specialists to transition into the complex area of Defence science and technology or continue to build on their career in Defence. </w:t>
      </w:r>
    </w:p>
    <w:p w14:paraId="6E882625" w14:textId="4E1D7DF2" w:rsidR="00CD05A9" w:rsidRPr="00CD05A9" w:rsidRDefault="00CD05A9" w:rsidP="00CD05A9">
      <w:pPr>
        <w:ind w:left="720"/>
        <w:rPr>
          <w:color w:val="053A68" w:themeColor="text2"/>
          <w:sz w:val="26"/>
        </w:rPr>
      </w:pPr>
      <w:r w:rsidRPr="00CD05A9">
        <w:rPr>
          <w:color w:val="053A68" w:themeColor="text2"/>
          <w:sz w:val="26"/>
        </w:rPr>
        <w:t xml:space="preserve">Defence has committed to the NAVIGATE Program to improve access to high calibre mid-career STEM researchers, bolstering </w:t>
      </w:r>
      <w:r w:rsidR="00581D42">
        <w:rPr>
          <w:color w:val="053A68" w:themeColor="text2"/>
          <w:sz w:val="26"/>
        </w:rPr>
        <w:t>female</w:t>
      </w:r>
      <w:r w:rsidRPr="00CD05A9">
        <w:rPr>
          <w:color w:val="053A68" w:themeColor="text2"/>
          <w:sz w:val="26"/>
        </w:rPr>
        <w:t xml:space="preserve"> representation at the mid-to-senior levels of the organisation by having a 50% female target, and increasing diversity to allow greater innovation to solve the future challenges for Defence.</w:t>
      </w:r>
    </w:p>
    <w:p w14:paraId="4E84AAE9" w14:textId="5E3699B8" w:rsidR="009748CE" w:rsidRDefault="009748CE" w:rsidP="00015592">
      <w:pPr>
        <w:pStyle w:val="Heading3"/>
      </w:pPr>
      <w:bookmarkStart w:id="1005" w:name="_Toc168329194"/>
      <w:bookmarkStart w:id="1006" w:name="_Toc168322850"/>
      <w:bookmarkStart w:id="1007" w:name="_Toc168387967"/>
      <w:bookmarkStart w:id="1008" w:name="_Toc168405622"/>
      <w:bookmarkStart w:id="1009" w:name="_Toc168408660"/>
      <w:bookmarkStart w:id="1010" w:name="_Toc168411061"/>
      <w:bookmarkStart w:id="1011" w:name="_Toc168405920"/>
      <w:bookmarkStart w:id="1012" w:name="_Toc168473728"/>
      <w:bookmarkStart w:id="1013" w:name="_Toc168471626"/>
      <w:bookmarkStart w:id="1014" w:name="_Toc168484686"/>
      <w:bookmarkStart w:id="1015" w:name="_Toc168495154"/>
      <w:bookmarkStart w:id="1016" w:name="_Toc168495603"/>
      <w:bookmarkStart w:id="1017" w:name="_Toc169103271"/>
      <w:bookmarkStart w:id="1018" w:name="_Toc169104745"/>
      <w:bookmarkStart w:id="1019" w:name="_Toc169278461"/>
      <w:bookmarkStart w:id="1020" w:name="_Toc169536900"/>
      <w:bookmarkStart w:id="1021" w:name="_Toc169708648"/>
      <w:bookmarkStart w:id="1022" w:name="_Toc170119692"/>
      <w:bookmarkStart w:id="1023" w:name="_Toc170138075"/>
      <w:bookmarkStart w:id="1024" w:name="_Toc170140148"/>
      <w:r>
        <w:t>Other efforts to strengthen gender representation in select occupations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601A356C" w14:textId="1C506E75" w:rsidR="00D918DB" w:rsidRPr="00F429B5" w:rsidRDefault="0040084E" w:rsidP="00D918DB">
      <w:r>
        <w:t>T</w:t>
      </w:r>
      <w:r w:rsidR="00D918DB">
        <w:t xml:space="preserve">o </w:t>
      </w:r>
      <w:r w:rsidR="00C01D92">
        <w:t xml:space="preserve">strengthen </w:t>
      </w:r>
      <w:r w:rsidR="00D918DB">
        <w:t xml:space="preserve">gender </w:t>
      </w:r>
      <w:r w:rsidR="00C01D92">
        <w:t>representation</w:t>
      </w:r>
      <w:r w:rsidR="00D918DB">
        <w:t xml:space="preserve"> in the ICT and Digital Solutions job family, the APSC is developing an APS </w:t>
      </w:r>
      <w:r w:rsidR="00D918DB" w:rsidRPr="00F429B5">
        <w:t xml:space="preserve">Data and </w:t>
      </w:r>
      <w:r w:rsidR="00D918DB">
        <w:t xml:space="preserve">Digital Workforce </w:t>
      </w:r>
      <w:r w:rsidR="00D918DB" w:rsidRPr="00F429B5">
        <w:t>Plan</w:t>
      </w:r>
      <w:r>
        <w:t xml:space="preserve"> </w:t>
      </w:r>
      <w:r w:rsidR="00D918DB">
        <w:t>in partnership with the Digital Transformation Agency (DTA</w:t>
      </w:r>
      <w:r>
        <w:t>)</w:t>
      </w:r>
      <w:r w:rsidR="00D918DB">
        <w:t xml:space="preserve">. This is currently in the consultation phase and is intended to be launched </w:t>
      </w:r>
      <w:r w:rsidR="00D918DB" w:rsidRPr="00D918DB">
        <w:t xml:space="preserve">in </w:t>
      </w:r>
      <w:r w:rsidR="00D918DB" w:rsidRPr="00A655DD">
        <w:t>2025</w:t>
      </w:r>
      <w:r w:rsidR="00D918DB" w:rsidRPr="00F429B5">
        <w:t>, with plans for continuous improvement and maturation following its release</w:t>
      </w:r>
      <w:r w:rsidR="00D918DB">
        <w:t xml:space="preserve">. </w:t>
      </w:r>
      <w:r w:rsidR="00D918DB" w:rsidRPr="00F429B5">
        <w:t>The workforce plan will include targeted and innovative initiatives designed to increase the diversity of the digital workforce across the APS.</w:t>
      </w:r>
    </w:p>
    <w:p w14:paraId="07DF900C" w14:textId="635CFC98" w:rsidR="00D8579D" w:rsidRDefault="00AD07F3" w:rsidP="00F039D2">
      <w:r>
        <w:lastRenderedPageBreak/>
        <w:t>Further</w:t>
      </w:r>
      <w:r w:rsidR="0040084E">
        <w:t>more</w:t>
      </w:r>
      <w:r>
        <w:t>, t</w:t>
      </w:r>
      <w:r w:rsidR="009748CE">
        <w:t xml:space="preserve">o increase the pipeline of </w:t>
      </w:r>
      <w:r w:rsidR="0040084E">
        <w:t>job-seeking</w:t>
      </w:r>
      <w:r w:rsidR="009748CE">
        <w:t xml:space="preserve"> graduate</w:t>
      </w:r>
      <w:r w:rsidR="0040084E">
        <w:t>s</w:t>
      </w:r>
      <w:r w:rsidR="009748CE">
        <w:t xml:space="preserve"> into STEM, digital, data, HR and other high demand occupations, the APS </w:t>
      </w:r>
      <w:r w:rsidR="0040084E">
        <w:t>offers</w:t>
      </w:r>
      <w:r w:rsidR="009748CE">
        <w:t xml:space="preserve"> specialised graduate development programs across many government departments, such as the </w:t>
      </w:r>
      <w:hyperlink r:id="rId55" w:history="1">
        <w:r w:rsidR="009748CE" w:rsidRPr="00F44CA3">
          <w:rPr>
            <w:rStyle w:val="Hyperlink"/>
          </w:rPr>
          <w:t xml:space="preserve">STEM </w:t>
        </w:r>
        <w:r w:rsidR="009748CE">
          <w:rPr>
            <w:rStyle w:val="Hyperlink"/>
          </w:rPr>
          <w:t>s</w:t>
        </w:r>
        <w:r w:rsidR="009748CE" w:rsidRPr="00F44CA3">
          <w:rPr>
            <w:rStyle w:val="Hyperlink"/>
          </w:rPr>
          <w:t>tream</w:t>
        </w:r>
      </w:hyperlink>
      <w:r w:rsidR="009748CE">
        <w:t>. The marketing in these advertisements</w:t>
      </w:r>
      <w:r w:rsidR="0040084E">
        <w:t>, such as the photos used and graduate reviews,</w:t>
      </w:r>
      <w:r w:rsidR="009748CE">
        <w:t xml:space="preserve"> has been tailored to help attract the </w:t>
      </w:r>
      <w:r>
        <w:t>underrepresented</w:t>
      </w:r>
      <w:r w:rsidR="009748CE">
        <w:t xml:space="preserve"> gender in the occupation. The </w:t>
      </w:r>
      <w:hyperlink r:id="rId56" w:history="1">
        <w:r w:rsidR="009748CE" w:rsidRPr="00DB7399">
          <w:rPr>
            <w:rStyle w:val="Hyperlink"/>
          </w:rPr>
          <w:t>multiple graduate streams</w:t>
        </w:r>
      </w:hyperlink>
      <w:r w:rsidR="009748CE">
        <w:t xml:space="preserve"> were announced in 2020 with the fir</w:t>
      </w:r>
      <w:r w:rsidR="00D8579D">
        <w:t>st intake of graduates in 2021.</w:t>
      </w:r>
    </w:p>
    <w:p w14:paraId="5BC6ED7E" w14:textId="2FC83110" w:rsidR="00DB39CE" w:rsidRDefault="004D41AC" w:rsidP="00891A04">
      <w:pPr>
        <w:pStyle w:val="Heading2"/>
      </w:pPr>
      <w:bookmarkStart w:id="1025" w:name="_Toc165991671"/>
      <w:bookmarkStart w:id="1026" w:name="_Toc166082969"/>
      <w:bookmarkStart w:id="1027" w:name="_Toc166160333"/>
      <w:bookmarkStart w:id="1028" w:name="_Toc166168032"/>
      <w:bookmarkStart w:id="1029" w:name="_Toc168329195"/>
      <w:bookmarkStart w:id="1030" w:name="_Toc168322851"/>
      <w:bookmarkStart w:id="1031" w:name="_Toc168387968"/>
      <w:bookmarkStart w:id="1032" w:name="_Toc168405623"/>
      <w:bookmarkStart w:id="1033" w:name="_Toc168408661"/>
      <w:bookmarkStart w:id="1034" w:name="_Toc168411062"/>
      <w:bookmarkStart w:id="1035" w:name="_Toc168405921"/>
      <w:bookmarkStart w:id="1036" w:name="_Toc168473729"/>
      <w:bookmarkStart w:id="1037" w:name="_Toc168471627"/>
      <w:bookmarkStart w:id="1038" w:name="_Toc168484687"/>
      <w:bookmarkStart w:id="1039" w:name="_Toc168495155"/>
      <w:bookmarkStart w:id="1040" w:name="_Toc168495604"/>
      <w:bookmarkStart w:id="1041" w:name="_Toc169103272"/>
      <w:bookmarkStart w:id="1042" w:name="_Toc169104746"/>
      <w:bookmarkStart w:id="1043" w:name="_Toc169278462"/>
      <w:bookmarkStart w:id="1044" w:name="_Toc169536901"/>
      <w:bookmarkStart w:id="1045" w:name="_Toc169708649"/>
      <w:bookmarkStart w:id="1046" w:name="_Toc170119693"/>
      <w:bookmarkStart w:id="1047" w:name="_Toc170138076"/>
      <w:bookmarkStart w:id="1048" w:name="_Toc170140149"/>
      <w:bookmarkStart w:id="1049" w:name="_Toc181715736"/>
      <w:r>
        <w:t>Gender diversity in selection processes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41F2C6E7" w14:textId="76E64648" w:rsidR="001D23DD" w:rsidRPr="001D23DD" w:rsidRDefault="001D23DD" w:rsidP="00F039D2">
      <w:r w:rsidRPr="001D23DD">
        <w:t>The</w:t>
      </w:r>
      <w:r w:rsidR="004046AC">
        <w:t xml:space="preserve"> GES </w:t>
      </w:r>
      <w:r w:rsidR="00593AB7">
        <w:t>Survey</w:t>
      </w:r>
      <w:r w:rsidR="004046AC">
        <w:t xml:space="preserve"> found </w:t>
      </w:r>
      <w:r w:rsidR="00334E41">
        <w:t xml:space="preserve">that </w:t>
      </w:r>
      <w:r w:rsidR="008869AE">
        <w:t>almost all (</w:t>
      </w:r>
      <w:r w:rsidR="00004BC2">
        <w:t>97%</w:t>
      </w:r>
      <w:r w:rsidR="008869AE">
        <w:t xml:space="preserve">) </w:t>
      </w:r>
      <w:r w:rsidR="00334E41">
        <w:t>agencies demonstrate</w:t>
      </w:r>
      <w:r w:rsidR="008869AE">
        <w:t>d</w:t>
      </w:r>
      <w:r w:rsidR="00334E41">
        <w:t xml:space="preserve"> ways i</w:t>
      </w:r>
      <w:r w:rsidR="004166B9">
        <w:t xml:space="preserve">n which they </w:t>
      </w:r>
      <w:r w:rsidR="00334E41">
        <w:t>ensured gender balance on selection panels</w:t>
      </w:r>
      <w:r w:rsidR="00004BC2">
        <w:t xml:space="preserve">, with these methods shown in </w:t>
      </w:r>
      <w:r w:rsidR="00D91382" w:rsidRPr="00D91382">
        <w:fldChar w:fldCharType="begin"/>
      </w:r>
      <w:r w:rsidR="00D91382" w:rsidRPr="00D91382">
        <w:instrText xml:space="preserve"> REF _Ref164168654 \h  \* MERGEFORMAT </w:instrText>
      </w:r>
      <w:r w:rsidR="00D91382" w:rsidRPr="00D91382">
        <w:fldChar w:fldCharType="separate"/>
      </w:r>
      <w:r w:rsidR="002B65E2" w:rsidRPr="00D91382">
        <w:t xml:space="preserve">Figure </w:t>
      </w:r>
      <w:r w:rsidR="002B65E2">
        <w:rPr>
          <w:noProof/>
        </w:rPr>
        <w:t>13</w:t>
      </w:r>
      <w:r w:rsidR="00D91382" w:rsidRPr="00D91382">
        <w:fldChar w:fldCharType="end"/>
      </w:r>
      <w:r w:rsidRPr="00D91382">
        <w:t>.</w:t>
      </w:r>
      <w:r w:rsidR="00E93E07">
        <w:t xml:space="preserve"> The most common method, </w:t>
      </w:r>
      <w:r w:rsidR="00B67947">
        <w:t>used</w:t>
      </w:r>
      <w:r w:rsidR="00E93E07">
        <w:t xml:space="preserve"> by </w:t>
      </w:r>
      <w:r w:rsidR="008869AE">
        <w:t xml:space="preserve">half </w:t>
      </w:r>
      <w:r w:rsidR="00E93E07">
        <w:t xml:space="preserve">of </w:t>
      </w:r>
      <w:r w:rsidR="008869AE">
        <w:t xml:space="preserve">the </w:t>
      </w:r>
      <w:r w:rsidR="00E93E07">
        <w:t>agencies</w:t>
      </w:r>
      <w:r w:rsidR="00791111">
        <w:t>,</w:t>
      </w:r>
      <w:r>
        <w:t xml:space="preserve"> </w:t>
      </w:r>
      <w:r w:rsidR="0001728E">
        <w:t>w</w:t>
      </w:r>
      <w:r w:rsidR="001C5478">
        <w:t>as</w:t>
      </w:r>
      <w:r w:rsidR="00E34C72">
        <w:t xml:space="preserve"> </w:t>
      </w:r>
      <w:r w:rsidR="008869AE">
        <w:t>through ensuring</w:t>
      </w:r>
      <w:r w:rsidR="00E34C72">
        <w:t xml:space="preserve"> their agencies’ recruitment policies and guidelines </w:t>
      </w:r>
      <w:r w:rsidR="008869AE">
        <w:t>were followed</w:t>
      </w:r>
      <w:r w:rsidR="00455932">
        <w:t>.</w:t>
      </w:r>
      <w:r>
        <w:t xml:space="preserve"> </w:t>
      </w:r>
      <w:r w:rsidR="001C5478">
        <w:t xml:space="preserve">The second most common </w:t>
      </w:r>
      <w:r w:rsidR="00E93E07">
        <w:t xml:space="preserve">method was by </w:t>
      </w:r>
      <w:r w:rsidR="001C5478">
        <w:t>maintain</w:t>
      </w:r>
      <w:r w:rsidR="008869AE">
        <w:t xml:space="preserve">ing </w:t>
      </w:r>
      <w:r w:rsidR="007F5B1B">
        <w:t>gender</w:t>
      </w:r>
      <w:r w:rsidR="001C5478">
        <w:t xml:space="preserve"> </w:t>
      </w:r>
      <w:r w:rsidR="007F5B1B">
        <w:t>balance,</w:t>
      </w:r>
      <w:r w:rsidR="001C5478">
        <w:t xml:space="preserve"> or hav</w:t>
      </w:r>
      <w:r w:rsidR="008869AE">
        <w:t>ing</w:t>
      </w:r>
      <w:r w:rsidR="001C5478">
        <w:t xml:space="preserve"> at least one </w:t>
      </w:r>
      <w:r w:rsidR="00F23463">
        <w:t>man</w:t>
      </w:r>
      <w:r w:rsidR="001C5478">
        <w:t xml:space="preserve"> and one women present on selection panels (33%). </w:t>
      </w:r>
      <w:r w:rsidR="008869AE">
        <w:t>Training and high-level approvals of panels were other methods commonly employed.</w:t>
      </w:r>
    </w:p>
    <w:p w14:paraId="70273FF2" w14:textId="5E06009B" w:rsidR="001A31AA" w:rsidRPr="00E90D01" w:rsidRDefault="002B4C0D" w:rsidP="006270FE">
      <w:pPr>
        <w:pStyle w:val="Heading5"/>
      </w:pPr>
      <w:bookmarkStart w:id="1050" w:name="_Ref164168654"/>
      <w:bookmarkStart w:id="1051" w:name="_Toc168405562"/>
      <w:bookmarkStart w:id="1052" w:name="_Toc168408711"/>
      <w:bookmarkStart w:id="1053" w:name="_Toc168411001"/>
      <w:bookmarkStart w:id="1054" w:name="_Toc168405861"/>
      <w:bookmarkStart w:id="1055" w:name="_Toc168473669"/>
      <w:bookmarkStart w:id="1056" w:name="_Toc168471567"/>
      <w:bookmarkStart w:id="1057" w:name="_Toc168484627"/>
      <w:bookmarkStart w:id="1058" w:name="_Toc168495096"/>
      <w:bookmarkStart w:id="1059" w:name="_Toc168495545"/>
      <w:bookmarkStart w:id="1060" w:name="_Toc168586014"/>
      <w:bookmarkStart w:id="1061" w:name="_Toc168586449"/>
      <w:bookmarkStart w:id="1062" w:name="_Toc169278407"/>
      <w:bookmarkStart w:id="1063" w:name="_Toc169536522"/>
      <w:bookmarkStart w:id="1064" w:name="_Toc169708603"/>
      <w:bookmarkStart w:id="1065" w:name="_Toc170138031"/>
      <w:bookmarkStart w:id="1066" w:name="_Toc170140104"/>
      <w:bookmarkStart w:id="1067" w:name="_Toc173857135"/>
      <w:r w:rsidRPr="00D91382">
        <w:t xml:space="preserve">Figure </w:t>
      </w:r>
      <w:r>
        <w:fldChar w:fldCharType="begin"/>
      </w:r>
      <w:r>
        <w:instrText>SEQ Figure \* ARABIC</w:instrText>
      </w:r>
      <w:r>
        <w:fldChar w:fldCharType="separate"/>
      </w:r>
      <w:r w:rsidR="002B65E2">
        <w:rPr>
          <w:noProof/>
        </w:rPr>
        <w:t>13</w:t>
      </w:r>
      <w:r>
        <w:fldChar w:fldCharType="end"/>
      </w:r>
      <w:bookmarkEnd w:id="1050"/>
      <w:r w:rsidRPr="00D91382">
        <w:t xml:space="preserve"> </w:t>
      </w:r>
      <w:r w:rsidR="001D23DD" w:rsidRPr="00D91382">
        <w:t>Ways agencies ensure</w:t>
      </w:r>
      <w:r w:rsidR="004E6DA0" w:rsidRPr="00D91382">
        <w:t>d</w:t>
      </w:r>
      <w:r w:rsidR="001D23DD" w:rsidRPr="00D91382">
        <w:t xml:space="preserve"> gender balance on selection panels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5BC44E14" w14:textId="0A2A3EDB" w:rsidR="00232BEF" w:rsidRDefault="00232BEF">
      <w:pPr>
        <w:spacing w:line="360" w:lineRule="auto"/>
      </w:pPr>
      <w:r>
        <w:rPr>
          <w:noProof/>
          <w:lang w:eastAsia="en-AU"/>
        </w:rPr>
        <w:drawing>
          <wp:inline distT="0" distB="0" distL="0" distR="0" wp14:anchorId="1548ED84" wp14:editId="37F98627">
            <wp:extent cx="5759450" cy="2664000"/>
            <wp:effectExtent l="0" t="0" r="0" b="3175"/>
            <wp:docPr id="29" name="Chart 29" descr="Figure 13 Ways agencies ensured gender balance on selection panels" title="Figure 13 Ways agencies ensured gender balance on selection pan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A292163" w14:textId="60096DAD" w:rsidR="002E3A32" w:rsidRPr="005662A8" w:rsidRDefault="002E3A32" w:rsidP="002E3A32">
      <w:pPr>
        <w:rPr>
          <w:sz w:val="16"/>
          <w:szCs w:val="16"/>
        </w:rPr>
      </w:pPr>
      <w:r w:rsidRPr="005662A8">
        <w:rPr>
          <w:sz w:val="16"/>
          <w:szCs w:val="16"/>
        </w:rPr>
        <w:t xml:space="preserve">Source: </w:t>
      </w:r>
      <w:r>
        <w:rPr>
          <w:sz w:val="16"/>
          <w:szCs w:val="16"/>
        </w:rPr>
        <w:t xml:space="preserve">2024 </w:t>
      </w:r>
      <w:r w:rsidR="008A3BB3">
        <w:rPr>
          <w:sz w:val="16"/>
          <w:szCs w:val="16"/>
        </w:rPr>
        <w:t>GES</w:t>
      </w:r>
      <w:r>
        <w:rPr>
          <w:sz w:val="16"/>
          <w:szCs w:val="16"/>
        </w:rPr>
        <w:t xml:space="preserve"> Survey</w:t>
      </w:r>
      <w:r w:rsidR="00876F89">
        <w:rPr>
          <w:sz w:val="16"/>
          <w:szCs w:val="16"/>
        </w:rPr>
        <w:t>.</w:t>
      </w:r>
    </w:p>
    <w:p w14:paraId="3E4769DC" w14:textId="656074A5" w:rsidR="00225638" w:rsidRDefault="008869AE" w:rsidP="00F039D2">
      <w:r>
        <w:t xml:space="preserve">One in 10 </w:t>
      </w:r>
      <w:r w:rsidR="001D23DD" w:rsidRPr="001D23DD">
        <w:t>agencies</w:t>
      </w:r>
      <w:r w:rsidR="00225638">
        <w:t xml:space="preserve"> </w:t>
      </w:r>
      <w:r>
        <w:t>noted</w:t>
      </w:r>
      <w:r w:rsidR="007F5B1B">
        <w:t xml:space="preserve"> </w:t>
      </w:r>
      <w:r w:rsidR="001D23DD">
        <w:t xml:space="preserve">that achieving gender </w:t>
      </w:r>
      <w:r w:rsidR="00225638">
        <w:t xml:space="preserve">balance </w:t>
      </w:r>
      <w:r w:rsidR="00CD316D">
        <w:t xml:space="preserve">on selection panels </w:t>
      </w:r>
      <w:r w:rsidR="00225638">
        <w:t xml:space="preserve">was not always possible </w:t>
      </w:r>
      <w:r w:rsidR="002C7700">
        <w:t>because</w:t>
      </w:r>
      <w:r w:rsidR="00225638">
        <w:t>:</w:t>
      </w:r>
    </w:p>
    <w:p w14:paraId="21C41230" w14:textId="3696C206" w:rsidR="00225638" w:rsidRPr="00F039D2" w:rsidRDefault="004178A7" w:rsidP="00F9645E">
      <w:pPr>
        <w:pStyle w:val="BulletLevel1"/>
        <w:numPr>
          <w:ilvl w:val="0"/>
          <w:numId w:val="38"/>
        </w:numPr>
      </w:pPr>
      <w:r>
        <w:t xml:space="preserve">most panels have </w:t>
      </w:r>
      <w:r w:rsidR="00B54D2D">
        <w:t>3</w:t>
      </w:r>
      <w:r w:rsidR="001D23DD" w:rsidRPr="00F039D2">
        <w:t xml:space="preserve"> members</w:t>
      </w:r>
      <w:r>
        <w:t>,</w:t>
      </w:r>
      <w:r w:rsidR="00225638" w:rsidRPr="00F039D2">
        <w:t xml:space="preserve"> making it </w:t>
      </w:r>
      <w:r w:rsidR="001D23DD" w:rsidRPr="00F039D2">
        <w:t xml:space="preserve">impossible to achieve gender balance with an uneven </w:t>
      </w:r>
      <w:r w:rsidR="00225638" w:rsidRPr="00F039D2">
        <w:t>number of panel members</w:t>
      </w:r>
      <w:r>
        <w:t xml:space="preserve"> (</w:t>
      </w:r>
      <w:r w:rsidR="00EF3274">
        <w:t>highlight</w:t>
      </w:r>
      <w:r>
        <w:t>ing</w:t>
      </w:r>
      <w:r w:rsidR="00EF3274">
        <w:t xml:space="preserve"> </w:t>
      </w:r>
      <w:r w:rsidR="00A24C04" w:rsidRPr="00F039D2">
        <w:t xml:space="preserve">a </w:t>
      </w:r>
      <w:r w:rsidR="007053F1">
        <w:t xml:space="preserve">different interpretation of the </w:t>
      </w:r>
      <w:r w:rsidR="004E6DA0" w:rsidRPr="00F039D2">
        <w:t>gender balance requirements</w:t>
      </w:r>
      <w:r>
        <w:t xml:space="preserve"> </w:t>
      </w:r>
      <w:r w:rsidR="007053F1">
        <w:t xml:space="preserve">in these </w:t>
      </w:r>
      <w:r>
        <w:t>agencies)</w:t>
      </w:r>
    </w:p>
    <w:p w14:paraId="5876B5ED" w14:textId="23705D2F" w:rsidR="001D23DD" w:rsidRPr="00F039D2" w:rsidRDefault="008869AE" w:rsidP="00F9645E">
      <w:pPr>
        <w:pStyle w:val="BulletLevel1"/>
        <w:numPr>
          <w:ilvl w:val="0"/>
          <w:numId w:val="38"/>
        </w:numPr>
      </w:pPr>
      <w:r>
        <w:t xml:space="preserve">of </w:t>
      </w:r>
      <w:r w:rsidR="004178A7">
        <w:t>a</w:t>
      </w:r>
      <w:r w:rsidR="00A24C04" w:rsidRPr="00F039D2">
        <w:t xml:space="preserve"> lack of available</w:t>
      </w:r>
      <w:r w:rsidR="00C9151B" w:rsidRPr="00F039D2">
        <w:t xml:space="preserve"> </w:t>
      </w:r>
      <w:r w:rsidR="00A24C04" w:rsidRPr="00F039D2">
        <w:t xml:space="preserve">subject matter expert panellists </w:t>
      </w:r>
      <w:r w:rsidR="00EF3274">
        <w:t xml:space="preserve">of a particular gender </w:t>
      </w:r>
      <w:r w:rsidR="00A24C04" w:rsidRPr="00F039D2">
        <w:t xml:space="preserve">in </w:t>
      </w:r>
      <w:r w:rsidR="004178A7">
        <w:t>a gender-dominated industry</w:t>
      </w:r>
    </w:p>
    <w:p w14:paraId="09280887" w14:textId="0DD467C9" w:rsidR="00225638" w:rsidRPr="00F039D2" w:rsidRDefault="008869AE" w:rsidP="00F9645E">
      <w:pPr>
        <w:pStyle w:val="BulletLevel1"/>
        <w:numPr>
          <w:ilvl w:val="0"/>
          <w:numId w:val="38"/>
        </w:numPr>
      </w:pPr>
      <w:proofErr w:type="gramStart"/>
      <w:r>
        <w:t>of</w:t>
      </w:r>
      <w:proofErr w:type="gramEnd"/>
      <w:r>
        <w:t xml:space="preserve"> the availability of employees in </w:t>
      </w:r>
      <w:r w:rsidR="004178A7">
        <w:t>s</w:t>
      </w:r>
      <w:r w:rsidR="00225638" w:rsidRPr="00F039D2">
        <w:t>mall agencies</w:t>
      </w:r>
      <w:r w:rsidR="004178A7">
        <w:t>.</w:t>
      </w:r>
    </w:p>
    <w:p w14:paraId="7E0DBF7D" w14:textId="5B986C90" w:rsidR="00D91382" w:rsidRDefault="008869AE" w:rsidP="00F039D2">
      <w:r>
        <w:t>Almost all agencies (90%) provided ways</w:t>
      </w:r>
      <w:r w:rsidR="00D02F4A">
        <w:t xml:space="preserve"> that selection panels are equipped to call</w:t>
      </w:r>
      <w:r>
        <w:t xml:space="preserve"> </w:t>
      </w:r>
      <w:r w:rsidR="00D02F4A">
        <w:t>out any potential biases during selection processes</w:t>
      </w:r>
      <w:r>
        <w:t xml:space="preserve"> (</w:t>
      </w:r>
      <w:r w:rsidR="00D02F4A">
        <w:fldChar w:fldCharType="begin"/>
      </w:r>
      <w:r w:rsidR="00D02F4A">
        <w:instrText xml:space="preserve"> REF _Ref164168713 \h  \* MERGEFORMAT </w:instrText>
      </w:r>
      <w:r w:rsidR="00D02F4A">
        <w:fldChar w:fldCharType="separate"/>
      </w:r>
      <w:r w:rsidR="002B65E2">
        <w:t xml:space="preserve">Figure </w:t>
      </w:r>
      <w:r w:rsidR="002B65E2" w:rsidRPr="338148FF">
        <w:rPr>
          <w:noProof/>
        </w:rPr>
        <w:t>14</w:t>
      </w:r>
      <w:r w:rsidR="00D02F4A">
        <w:fldChar w:fldCharType="end"/>
      </w:r>
      <w:r>
        <w:t>)</w:t>
      </w:r>
      <w:r w:rsidR="00D91382">
        <w:t>.</w:t>
      </w:r>
      <w:r w:rsidR="00CD316D">
        <w:t xml:space="preserve"> </w:t>
      </w:r>
      <w:r>
        <w:t>T</w:t>
      </w:r>
      <w:r w:rsidR="00C82F4E">
        <w:t xml:space="preserve">he most common method was </w:t>
      </w:r>
      <w:r w:rsidR="004542A7">
        <w:t>providing</w:t>
      </w:r>
      <w:r w:rsidR="00094700">
        <w:t xml:space="preserve"> training or </w:t>
      </w:r>
      <w:r w:rsidR="00094700">
        <w:lastRenderedPageBreak/>
        <w:t>guidance to selection panels</w:t>
      </w:r>
      <w:r w:rsidR="004542A7">
        <w:t xml:space="preserve"> such as through </w:t>
      </w:r>
      <w:r w:rsidR="00094700">
        <w:t xml:space="preserve">training in unconscious bias </w:t>
      </w:r>
      <w:r w:rsidR="004542A7">
        <w:t xml:space="preserve">during </w:t>
      </w:r>
      <w:r w:rsidR="00094700">
        <w:t xml:space="preserve">recruitment and </w:t>
      </w:r>
      <w:r w:rsidR="00923E63">
        <w:t xml:space="preserve">training on </w:t>
      </w:r>
      <w:r w:rsidR="00094700">
        <w:t>how to mitigate bias.</w:t>
      </w:r>
    </w:p>
    <w:p w14:paraId="00548D05" w14:textId="64578D7C" w:rsidR="00E23B36" w:rsidRPr="00AC3F4F" w:rsidRDefault="00D91382" w:rsidP="00AC3F4F">
      <w:pPr>
        <w:pStyle w:val="Heading5"/>
        <w:rPr>
          <w:i/>
        </w:rPr>
      </w:pPr>
      <w:bookmarkStart w:id="1068" w:name="_Ref164168713"/>
      <w:bookmarkStart w:id="1069" w:name="_Toc168405563"/>
      <w:bookmarkStart w:id="1070" w:name="_Toc168408712"/>
      <w:bookmarkStart w:id="1071" w:name="_Toc168411002"/>
      <w:bookmarkStart w:id="1072" w:name="_Toc168405862"/>
      <w:bookmarkStart w:id="1073" w:name="_Toc168473670"/>
      <w:bookmarkStart w:id="1074" w:name="_Toc168471568"/>
      <w:bookmarkStart w:id="1075" w:name="_Toc168484628"/>
      <w:bookmarkStart w:id="1076" w:name="_Toc168495097"/>
      <w:bookmarkStart w:id="1077" w:name="_Toc168495546"/>
      <w:bookmarkStart w:id="1078" w:name="_Toc168586015"/>
      <w:bookmarkStart w:id="1079" w:name="_Toc168586450"/>
      <w:bookmarkStart w:id="1080" w:name="_Toc169278408"/>
      <w:bookmarkStart w:id="1081" w:name="_Toc169536523"/>
      <w:bookmarkStart w:id="1082" w:name="_Toc169708604"/>
      <w:bookmarkStart w:id="1083" w:name="_Toc170138032"/>
      <w:bookmarkStart w:id="1084" w:name="_Toc170140105"/>
      <w:bookmarkStart w:id="1085" w:name="_Toc173857136"/>
      <w:r w:rsidRPr="00D91382">
        <w:t xml:space="preserve">Figure </w:t>
      </w:r>
      <w:r w:rsidRPr="009D6FB0">
        <w:fldChar w:fldCharType="begin"/>
      </w:r>
      <w:r w:rsidRPr="007E4F0C">
        <w:instrText xml:space="preserve"> SEQ Figure \* ARABIC </w:instrText>
      </w:r>
      <w:r w:rsidRPr="009D6FB0">
        <w:fldChar w:fldCharType="separate"/>
      </w:r>
      <w:r w:rsidR="002B65E2">
        <w:rPr>
          <w:noProof/>
        </w:rPr>
        <w:t>14</w:t>
      </w:r>
      <w:r w:rsidRPr="009D6FB0">
        <w:fldChar w:fldCharType="end"/>
      </w:r>
      <w:bookmarkEnd w:id="1068"/>
      <w:r w:rsidR="00752E4D">
        <w:t xml:space="preserve"> Ways </w:t>
      </w:r>
      <w:r w:rsidR="004542A7">
        <w:t xml:space="preserve">that </w:t>
      </w:r>
      <w:r w:rsidR="00A501B3">
        <w:t xml:space="preserve">selection panels are </w:t>
      </w:r>
      <w:r w:rsidR="00A501B3" w:rsidRPr="00A501B3">
        <w:t>equipped to call-out potential bias during selection processes</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35F9467D" w14:textId="0E15A101" w:rsidR="00AC3F4F" w:rsidRDefault="00AC3F4F" w:rsidP="2BEEF1D4">
      <w:pPr>
        <w:spacing w:line="360" w:lineRule="auto"/>
        <w:rPr>
          <w:rFonts w:asciiTheme="majorHAnsi" w:eastAsiaTheme="majorEastAsia" w:hAnsiTheme="majorHAnsi" w:cstheme="majorBidi"/>
          <w:sz w:val="32"/>
          <w:szCs w:val="32"/>
        </w:rPr>
      </w:pPr>
      <w:r>
        <w:rPr>
          <w:noProof/>
          <w:lang w:eastAsia="en-AU"/>
        </w:rPr>
        <w:drawing>
          <wp:inline distT="0" distB="0" distL="0" distR="0" wp14:anchorId="6ECE5EDB" wp14:editId="79930CA4">
            <wp:extent cx="5759450" cy="2664000"/>
            <wp:effectExtent l="0" t="0" r="0" b="3175"/>
            <wp:docPr id="170548673" name="Chart 170548673" title="Figure 14 Ways that selection panels are equipped to call-out potential bias during selection proces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4A29C2E" w14:textId="6009ACD2" w:rsidR="002E3A32" w:rsidRPr="005662A8" w:rsidRDefault="002E3A32" w:rsidP="002E3A32">
      <w:pPr>
        <w:rPr>
          <w:sz w:val="16"/>
          <w:szCs w:val="16"/>
        </w:rPr>
      </w:pPr>
      <w:r w:rsidRPr="005662A8">
        <w:rPr>
          <w:sz w:val="16"/>
          <w:szCs w:val="16"/>
        </w:rPr>
        <w:t xml:space="preserve">Source: </w:t>
      </w:r>
      <w:r w:rsidR="00876F89">
        <w:rPr>
          <w:sz w:val="16"/>
          <w:szCs w:val="16"/>
        </w:rPr>
        <w:t xml:space="preserve">2024 </w:t>
      </w:r>
      <w:r w:rsidR="008A3BB3">
        <w:rPr>
          <w:sz w:val="16"/>
          <w:szCs w:val="16"/>
        </w:rPr>
        <w:t>GES</w:t>
      </w:r>
      <w:r>
        <w:rPr>
          <w:sz w:val="16"/>
          <w:szCs w:val="16"/>
        </w:rPr>
        <w:t xml:space="preserve"> Survey</w:t>
      </w:r>
      <w:r w:rsidR="00876F89">
        <w:rPr>
          <w:sz w:val="16"/>
          <w:szCs w:val="16"/>
        </w:rPr>
        <w:t>.</w:t>
      </w:r>
    </w:p>
    <w:p w14:paraId="3735B4CD" w14:textId="39E783F7" w:rsidR="000C663F" w:rsidRPr="00C16419" w:rsidRDefault="00750980" w:rsidP="007E4F0C">
      <w:pPr>
        <w:pStyle w:val="Heading2"/>
      </w:pPr>
      <w:bookmarkStart w:id="1086" w:name="_Toc168329196"/>
      <w:bookmarkStart w:id="1087" w:name="_Toc168322852"/>
      <w:bookmarkStart w:id="1088" w:name="_Toc168387969"/>
      <w:bookmarkStart w:id="1089" w:name="_Toc168405624"/>
      <w:bookmarkStart w:id="1090" w:name="_Toc168408662"/>
      <w:bookmarkStart w:id="1091" w:name="_Toc168411063"/>
      <w:bookmarkStart w:id="1092" w:name="_Toc168405922"/>
      <w:bookmarkStart w:id="1093" w:name="_Toc168473730"/>
      <w:bookmarkStart w:id="1094" w:name="_Toc168471628"/>
      <w:bookmarkStart w:id="1095" w:name="_Toc168484688"/>
      <w:bookmarkStart w:id="1096" w:name="_Toc168495156"/>
      <w:bookmarkStart w:id="1097" w:name="_Toc168495605"/>
      <w:bookmarkStart w:id="1098" w:name="_Toc169103273"/>
      <w:bookmarkStart w:id="1099" w:name="_Toc169104747"/>
      <w:bookmarkStart w:id="1100" w:name="_Toc169278463"/>
      <w:bookmarkStart w:id="1101" w:name="_Toc169536902"/>
      <w:bookmarkStart w:id="1102" w:name="_Toc169708650"/>
      <w:bookmarkStart w:id="1103" w:name="_Toc170119694"/>
      <w:bookmarkStart w:id="1104" w:name="_Toc170138077"/>
      <w:bookmarkStart w:id="1105" w:name="_Toc170140150"/>
      <w:bookmarkStart w:id="1106" w:name="_Toc181715737"/>
      <w:r>
        <w:t>P</w:t>
      </w:r>
      <w:r w:rsidR="00C16419" w:rsidRPr="00C16419">
        <w:t xml:space="preserve">arental leave </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t>and carers</w:t>
      </w:r>
      <w:bookmarkEnd w:id="1106"/>
    </w:p>
    <w:p w14:paraId="5EA9019B" w14:textId="47632CA4" w:rsidR="002B69FA" w:rsidRDefault="000E0CA4" w:rsidP="00623833">
      <w:r>
        <w:t xml:space="preserve">The provision of equal leave options for all parents may assist in changing gender-based stereotypes around </w:t>
      </w:r>
      <w:r w:rsidR="00215789">
        <w:t>parental leave</w:t>
      </w:r>
      <w:r w:rsidR="004967AC">
        <w:t xml:space="preserve">. </w:t>
      </w:r>
      <w:r w:rsidR="00B9017F">
        <w:t>Research by</w:t>
      </w:r>
      <w:r w:rsidR="00BB6682">
        <w:t xml:space="preserve"> </w:t>
      </w:r>
      <w:r w:rsidR="00B9017F">
        <w:t>WGEA</w:t>
      </w:r>
      <w:r w:rsidR="003A0B5C">
        <w:t xml:space="preserve"> </w:t>
      </w:r>
      <w:r w:rsidR="00B9017F">
        <w:t>showed that in 2022 only 13.5% of paid parental leave was taken by men</w:t>
      </w:r>
      <w:r w:rsidR="00BB6682">
        <w:t xml:space="preserve"> </w:t>
      </w:r>
      <w:r w:rsidR="00152EBF">
        <w:t>working in Commonwealth agencies</w:t>
      </w:r>
      <w:r w:rsidR="00B9017F">
        <w:t>.</w:t>
      </w:r>
      <w:r w:rsidR="006A7745">
        <w:rPr>
          <w:rStyle w:val="FootnoteReference"/>
        </w:rPr>
        <w:footnoteReference w:id="16"/>
      </w:r>
      <w:r w:rsidR="00E67452">
        <w:t xml:space="preserve"> </w:t>
      </w:r>
      <w:r w:rsidR="00BD33B9">
        <w:t>O</w:t>
      </w:r>
      <w:r w:rsidR="00E67452">
        <w:t>f the 67% of agencies with targets to address gender equality, only 10% had targets to increase the number of men taking parental leave.</w:t>
      </w:r>
    </w:p>
    <w:p w14:paraId="03AD62EA" w14:textId="6CDD8E93" w:rsidR="0066627F" w:rsidRDefault="00EB64F1" w:rsidP="0066627F">
      <w:r>
        <w:t xml:space="preserve">The GES Survey also found little in the way of active encouragement of </w:t>
      </w:r>
      <w:r w:rsidR="00636BEC">
        <w:t>secondary care</w:t>
      </w:r>
      <w:r w:rsidR="0045166F">
        <w:t>r</w:t>
      </w:r>
      <w:r w:rsidR="00636BEC">
        <w:t>s</w:t>
      </w:r>
      <w:r w:rsidR="00F8483D">
        <w:t xml:space="preserve"> to</w:t>
      </w:r>
      <w:r>
        <w:t xml:space="preserve"> c</w:t>
      </w:r>
      <w:r w:rsidR="00F8483D">
        <w:t xml:space="preserve">laim leave entitlements. When agencies were asked about initiatives or support </w:t>
      </w:r>
      <w:r w:rsidR="00D825DB">
        <w:t>they provide</w:t>
      </w:r>
      <w:r w:rsidR="00F8483D">
        <w:t xml:space="preserve"> to encourage secondary </w:t>
      </w:r>
      <w:r w:rsidR="008E5A49">
        <w:t>carer</w:t>
      </w:r>
      <w:r w:rsidR="00F8483D">
        <w:t>s to take parental or carers leave</w:t>
      </w:r>
      <w:r w:rsidR="00136B2C">
        <w:t xml:space="preserve"> (in addition to the increased leave entitlements from APS bargaining)</w:t>
      </w:r>
      <w:r w:rsidR="00F8483D">
        <w:t>,</w:t>
      </w:r>
      <w:r w:rsidR="002F21A5">
        <w:t xml:space="preserve"> the majority of agencies</w:t>
      </w:r>
      <w:r w:rsidR="00F8483D">
        <w:t xml:space="preserve"> </w:t>
      </w:r>
      <w:r w:rsidR="002F21A5">
        <w:t>only</w:t>
      </w:r>
      <w:r w:rsidR="00F8483D">
        <w:t xml:space="preserve"> </w:t>
      </w:r>
      <w:r w:rsidR="00D825DB">
        <w:t>referred to other</w:t>
      </w:r>
      <w:r w:rsidR="00F8483D">
        <w:t xml:space="preserve"> </w:t>
      </w:r>
      <w:r w:rsidR="009D54EA">
        <w:t xml:space="preserve">employment </w:t>
      </w:r>
      <w:r w:rsidR="00F8483D">
        <w:t>conditions in place</w:t>
      </w:r>
      <w:r w:rsidR="002F21A5">
        <w:t>.</w:t>
      </w:r>
      <w:r w:rsidR="00F8483D">
        <w:t xml:space="preserve"> </w:t>
      </w:r>
      <w:r w:rsidR="0066627F">
        <w:t>4</w:t>
      </w:r>
      <w:r w:rsidR="004038F4">
        <w:t>6</w:t>
      </w:r>
      <w:r w:rsidR="0066627F">
        <w:t xml:space="preserve">% reported that they already offer flexible work </w:t>
      </w:r>
      <w:r w:rsidR="00D825DB">
        <w:t xml:space="preserve">arrangements </w:t>
      </w:r>
      <w:r w:rsidR="0066627F">
        <w:t>such as part-time, job shar</w:t>
      </w:r>
      <w:r w:rsidR="00D825DB">
        <w:t>ing</w:t>
      </w:r>
      <w:r w:rsidR="0066627F">
        <w:t xml:space="preserve">, </w:t>
      </w:r>
      <w:r w:rsidR="00D825DB">
        <w:t>compressed</w:t>
      </w:r>
      <w:r w:rsidR="0066627F">
        <w:t xml:space="preserve"> hours</w:t>
      </w:r>
      <w:r w:rsidR="00D825DB">
        <w:t>, flexible start</w:t>
      </w:r>
      <w:r w:rsidR="0066627F">
        <w:t xml:space="preserve"> and </w:t>
      </w:r>
      <w:r w:rsidR="00D825DB">
        <w:t>finish times</w:t>
      </w:r>
      <w:r w:rsidR="0066627F">
        <w:t xml:space="preserve"> and hybrid or fully remote work. 42% mentioned that their enterprise agreement or leave policy entitlements include</w:t>
      </w:r>
      <w:r w:rsidR="0047586A">
        <w:t>d</w:t>
      </w:r>
      <w:r w:rsidR="0066627F">
        <w:t xml:space="preserve"> provision</w:t>
      </w:r>
      <w:r w:rsidR="0047586A">
        <w:t>s</w:t>
      </w:r>
      <w:r w:rsidR="008E5A49">
        <w:t xml:space="preserve"> for secondary carers</w:t>
      </w:r>
      <w:r w:rsidR="0066627F">
        <w:t>.</w:t>
      </w:r>
      <w:r w:rsidR="002F21A5">
        <w:t xml:space="preserve"> </w:t>
      </w:r>
      <w:r w:rsidR="007F3DFA">
        <w:t>In contrast</w:t>
      </w:r>
      <w:r w:rsidR="00BD1ED7">
        <w:t xml:space="preserve">, </w:t>
      </w:r>
      <w:r w:rsidR="00F8483D">
        <w:t xml:space="preserve">10% reported </w:t>
      </w:r>
      <w:r w:rsidR="004038F4">
        <w:t>that the</w:t>
      </w:r>
      <w:r w:rsidR="00BD1ED7">
        <w:t xml:space="preserve">y promote and raise awareness of </w:t>
      </w:r>
      <w:r w:rsidR="00F8483D">
        <w:t xml:space="preserve">employee </w:t>
      </w:r>
      <w:r w:rsidR="0066627F">
        <w:t xml:space="preserve">leave </w:t>
      </w:r>
      <w:r w:rsidR="00F8483D">
        <w:t>entitlements</w:t>
      </w:r>
      <w:r w:rsidR="00BD1ED7">
        <w:t xml:space="preserve"> to encourage secondary carers to pursue these options.</w:t>
      </w:r>
    </w:p>
    <w:p w14:paraId="581BCE30" w14:textId="66CD9E26" w:rsidR="00BD33B9" w:rsidRDefault="00017FF9" w:rsidP="00017FF9">
      <w:r>
        <w:t xml:space="preserve">Historically, </w:t>
      </w:r>
      <w:r w:rsidR="00BD33B9">
        <w:t xml:space="preserve">most agencies </w:t>
      </w:r>
      <w:r>
        <w:t xml:space="preserve">have offered </w:t>
      </w:r>
      <w:r w:rsidR="00BD33B9">
        <w:t>a shorter period of parental leave to secondary carers</w:t>
      </w:r>
      <w:r>
        <w:t>, compare</w:t>
      </w:r>
      <w:r w:rsidR="008E5A49">
        <w:t>d to primary carers</w:t>
      </w:r>
      <w:r w:rsidR="00BD33B9">
        <w:t>.</w:t>
      </w:r>
      <w:r w:rsidR="00B40CAF">
        <w:t xml:space="preserve"> </w:t>
      </w:r>
      <w:r>
        <w:t>I</w:t>
      </w:r>
      <w:r w:rsidR="00BD33B9">
        <w:t>n June 2023</w:t>
      </w:r>
      <w:r w:rsidR="00DE6BE2">
        <w:t>,</w:t>
      </w:r>
      <w:r w:rsidR="00BD33B9">
        <w:t xml:space="preserve"> the APSC published its </w:t>
      </w:r>
      <w:hyperlink r:id="rId59" w:anchor=":~:text=The%20Review%20recommends%20that%20parents,child%27s%20birth%20as%20unpaid%20leave">
        <w:r w:rsidR="00BD33B9" w:rsidRPr="5AB1B64B">
          <w:rPr>
            <w:rStyle w:val="Hyperlink"/>
          </w:rPr>
          <w:t>Maternity Leave Act Review Report</w:t>
        </w:r>
      </w:hyperlink>
      <w:r w:rsidR="00BD33B9">
        <w:t xml:space="preserve"> which recommended that parents should have access to a separate and equal entitlement to parental leave; paid parental leave should be extended to 18 weeks; and the 12 month service requirement </w:t>
      </w:r>
      <w:r w:rsidR="00BD33B9">
        <w:lastRenderedPageBreak/>
        <w:t xml:space="preserve">should be removed. The 2023 APS-wide bargaining process </w:t>
      </w:r>
      <w:r w:rsidR="00C34DA1">
        <w:t>took</w:t>
      </w:r>
      <w:r w:rsidR="00BD33B9">
        <w:t xml:space="preserve"> steps to implement these recommendations. </w:t>
      </w:r>
      <w:r w:rsidR="00D968CD">
        <w:t xml:space="preserve">All agencies have now signed new Enterprise Agreements, offering </w:t>
      </w:r>
      <w:r w:rsidR="00BD33B9">
        <w:t xml:space="preserve">secondary </w:t>
      </w:r>
      <w:r w:rsidR="008E5A49">
        <w:t>carer</w:t>
      </w:r>
      <w:r w:rsidR="00BD33B9">
        <w:t>s</w:t>
      </w:r>
      <w:r w:rsidR="00FC337E">
        <w:t xml:space="preserve"> </w:t>
      </w:r>
      <w:r w:rsidR="00BD33B9">
        <w:t xml:space="preserve">8 weeks </w:t>
      </w:r>
      <w:r w:rsidR="00D968CD">
        <w:t xml:space="preserve">of </w:t>
      </w:r>
      <w:r w:rsidR="00BD33B9">
        <w:t>parental leave. This will progressively increase</w:t>
      </w:r>
      <w:r w:rsidR="004C145C">
        <w:t xml:space="preserve"> and</w:t>
      </w:r>
      <w:r w:rsidR="00BD33B9">
        <w:t xml:space="preserve"> </w:t>
      </w:r>
      <w:r w:rsidR="004C145C">
        <w:t xml:space="preserve">by February 2027 it will </w:t>
      </w:r>
      <w:r w:rsidR="00BD33B9">
        <w:t>be in line with the 18</w:t>
      </w:r>
      <w:r w:rsidR="008E5A49">
        <w:t xml:space="preserve"> weeks offered to primary carers</w:t>
      </w:r>
      <w:r w:rsidR="00BD33B9">
        <w:t xml:space="preserve">. Both </w:t>
      </w:r>
      <w:r w:rsidR="008E5A49">
        <w:t>carer</w:t>
      </w:r>
      <w:r w:rsidR="00BD33B9">
        <w:t>s will also be given the flexibility of 24 months following the birth or adoption of a child to utilise the entitlements. Furthermore, all qualifying periods to access the paid parental leave have been removed.</w:t>
      </w:r>
    </w:p>
    <w:p w14:paraId="5D6EAD30" w14:textId="596BBEC5" w:rsidR="009A0D6F" w:rsidRDefault="00F96343" w:rsidP="00623833">
      <w:r>
        <w:t>T</w:t>
      </w:r>
      <w:r w:rsidR="00287F7C">
        <w:t>he increased entitlements</w:t>
      </w:r>
      <w:r w:rsidR="00AE31EC">
        <w:t xml:space="preserve"> offered</w:t>
      </w:r>
      <w:r w:rsidR="00642345">
        <w:t xml:space="preserve"> under the APS common conditions</w:t>
      </w:r>
      <w:r>
        <w:t xml:space="preserve"> are a </w:t>
      </w:r>
      <w:r w:rsidR="00017FF9">
        <w:t xml:space="preserve">positive </w:t>
      </w:r>
      <w:r>
        <w:t>step</w:t>
      </w:r>
      <w:r w:rsidR="000F03FA">
        <w:t xml:space="preserve"> to</w:t>
      </w:r>
      <w:r w:rsidR="004E60EE">
        <w:t>wards</w:t>
      </w:r>
      <w:r w:rsidR="000F03FA">
        <w:t xml:space="preserve"> creating change</w:t>
      </w:r>
      <w:r>
        <w:t xml:space="preserve"> </w:t>
      </w:r>
      <w:r w:rsidR="000F03FA">
        <w:t>a</w:t>
      </w:r>
      <w:r>
        <w:t>nd</w:t>
      </w:r>
      <w:r w:rsidR="00287F7C">
        <w:t xml:space="preserve"> offer</w:t>
      </w:r>
      <w:r w:rsidR="004E60EE">
        <w:t>ing</w:t>
      </w:r>
      <w:r w:rsidR="00B9017F">
        <w:t xml:space="preserve"> greater incentive </w:t>
      </w:r>
      <w:r w:rsidR="001F2AE5">
        <w:t xml:space="preserve">for men </w:t>
      </w:r>
      <w:r w:rsidR="00B9017F">
        <w:t>to</w:t>
      </w:r>
      <w:r w:rsidR="00AE31EC">
        <w:t xml:space="preserve"> claim</w:t>
      </w:r>
      <w:r w:rsidR="00B9017F">
        <w:t xml:space="preserve"> </w:t>
      </w:r>
      <w:r w:rsidR="00017FF9">
        <w:t>parental</w:t>
      </w:r>
      <w:r w:rsidR="00B9017F">
        <w:t xml:space="preserve"> leave.</w:t>
      </w:r>
      <w:r w:rsidR="00287F7C">
        <w:t xml:space="preserve"> </w:t>
      </w:r>
      <w:r w:rsidR="00605006">
        <w:t xml:space="preserve">The GES </w:t>
      </w:r>
      <w:r w:rsidR="00593AB7">
        <w:t>Survey</w:t>
      </w:r>
      <w:r w:rsidR="00605006">
        <w:t xml:space="preserve"> received feedback from one of the first agencies to adopt </w:t>
      </w:r>
      <w:r w:rsidR="00642345">
        <w:t xml:space="preserve">the </w:t>
      </w:r>
      <w:r w:rsidR="00605006">
        <w:t xml:space="preserve">enhanced parental leave entitlements for secondary </w:t>
      </w:r>
      <w:r w:rsidR="008E5A49">
        <w:t>carer</w:t>
      </w:r>
      <w:r w:rsidR="00605006">
        <w:t>s</w:t>
      </w:r>
      <w:r w:rsidR="004E60EE">
        <w:t xml:space="preserve"> </w:t>
      </w:r>
      <w:r w:rsidR="00D47BA1">
        <w:t>and t</w:t>
      </w:r>
      <w:r w:rsidR="002B69FA">
        <w:t>hey observed a strong interest in the entitlements with increased enquiries through their HR mailbox and enquiry line.</w:t>
      </w:r>
      <w:r w:rsidR="003D4316">
        <w:t xml:space="preserve"> </w:t>
      </w:r>
      <w:r w:rsidR="002B69FA">
        <w:t>Increased communications</w:t>
      </w:r>
      <w:r w:rsidR="00642345">
        <w:t xml:space="preserve"> </w:t>
      </w:r>
      <w:r w:rsidR="004E60EE">
        <w:t xml:space="preserve">around the enhanced conditions </w:t>
      </w:r>
      <w:r w:rsidR="00F8483D">
        <w:t>is</w:t>
      </w:r>
      <w:r w:rsidR="004E60EE">
        <w:t xml:space="preserve"> encourage</w:t>
      </w:r>
      <w:r w:rsidR="00F8483D">
        <w:t>d</w:t>
      </w:r>
      <w:r w:rsidR="003D4316">
        <w:t>, with the following examples highlighting agenc</w:t>
      </w:r>
      <w:r w:rsidR="0065457A">
        <w:t>ies’</w:t>
      </w:r>
      <w:r w:rsidR="003D4316">
        <w:t xml:space="preserve"> efforts on this topic</w:t>
      </w:r>
      <w:r w:rsidR="002B69FA">
        <w:t>:</w:t>
      </w:r>
    </w:p>
    <w:p w14:paraId="6703768C" w14:textId="78F86998" w:rsidR="009A0D6F" w:rsidRDefault="009A0D6F" w:rsidP="00577507">
      <w:pPr>
        <w:ind w:left="720"/>
        <w:rPr>
          <w:color w:val="053A68" w:themeColor="text2"/>
          <w:sz w:val="26"/>
        </w:rPr>
      </w:pPr>
      <w:r w:rsidRPr="0089771D">
        <w:rPr>
          <w:i/>
          <w:color w:val="053A68" w:themeColor="text2"/>
          <w:sz w:val="26"/>
        </w:rPr>
        <w:t>Our Leaders Have Many Faces exhibition</w:t>
      </w:r>
      <w:r w:rsidRPr="005B01FA">
        <w:rPr>
          <w:color w:val="053A68" w:themeColor="text2"/>
          <w:sz w:val="26"/>
        </w:rPr>
        <w:t>, designed and implemented by AGD’s Employee Networks, includes profiles of men on parental leave.</w:t>
      </w:r>
      <w:r w:rsidR="00C4140A">
        <w:rPr>
          <w:color w:val="053A68" w:themeColor="text2"/>
          <w:sz w:val="26"/>
        </w:rPr>
        <w:t xml:space="preserve"> (Attorney-General’s Department)</w:t>
      </w:r>
    </w:p>
    <w:p w14:paraId="0E7F81A1" w14:textId="72FF97E9" w:rsidR="00BA7046" w:rsidRDefault="00D33182" w:rsidP="00A435AB">
      <w:pPr>
        <w:ind w:left="720"/>
        <w:rPr>
          <w:color w:val="053A68" w:themeColor="text2"/>
          <w:sz w:val="26"/>
        </w:rPr>
      </w:pPr>
      <w:r>
        <w:rPr>
          <w:color w:val="053A68" w:themeColor="text2"/>
          <w:sz w:val="26"/>
        </w:rPr>
        <w:t xml:space="preserve">ARPANSA will </w:t>
      </w:r>
      <w:r w:rsidR="00605006" w:rsidRPr="00605006">
        <w:rPr>
          <w:color w:val="053A68" w:themeColor="text2"/>
          <w:sz w:val="26"/>
        </w:rPr>
        <w:t>be working with managers to ensure pro-active conversations are being held with secondary caregivers once they announce a pregnancy or placement (e.g. “what leave would you like to take and what working arrangements would suit you?” instead of “are you taking parental leave or asking for different working arrangements?”).</w:t>
      </w:r>
      <w:r w:rsidR="00C4140A">
        <w:rPr>
          <w:color w:val="053A68" w:themeColor="text2"/>
          <w:sz w:val="26"/>
        </w:rPr>
        <w:t xml:space="preserve"> (Australian Radiation Protection and Nuclear Safety Agency)</w:t>
      </w:r>
    </w:p>
    <w:p w14:paraId="5799CB35" w14:textId="77777777" w:rsidR="00EF56FE" w:rsidRDefault="00EF56FE" w:rsidP="00EF56FE">
      <w:pPr>
        <w:ind w:left="720"/>
        <w:rPr>
          <w:color w:val="053A68" w:themeColor="text2"/>
          <w:sz w:val="26"/>
        </w:rPr>
      </w:pPr>
      <w:r w:rsidRPr="009A0D6F">
        <w:rPr>
          <w:color w:val="053A68" w:themeColor="text2"/>
          <w:sz w:val="26"/>
        </w:rPr>
        <w:t>Promotion through emails, intranet articles and awareness campaigns, i.e., traini</w:t>
      </w:r>
      <w:r>
        <w:rPr>
          <w:color w:val="053A68" w:themeColor="text2"/>
          <w:sz w:val="26"/>
        </w:rPr>
        <w:t xml:space="preserve">ng, education, workshops, etc. </w:t>
      </w:r>
      <w:r w:rsidRPr="009A0D6F">
        <w:rPr>
          <w:color w:val="053A68" w:themeColor="text2"/>
          <w:sz w:val="26"/>
        </w:rPr>
        <w:t>o</w:t>
      </w:r>
      <w:r>
        <w:rPr>
          <w:color w:val="053A68" w:themeColor="text2"/>
          <w:sz w:val="26"/>
        </w:rPr>
        <w:t>n</w:t>
      </w:r>
      <w:r w:rsidRPr="009A0D6F">
        <w:rPr>
          <w:color w:val="053A68" w:themeColor="text2"/>
          <w:sz w:val="26"/>
        </w:rPr>
        <w:t xml:space="preserve"> what is available to staff.</w:t>
      </w:r>
      <w:r>
        <w:rPr>
          <w:color w:val="053A68" w:themeColor="text2"/>
          <w:sz w:val="26"/>
        </w:rPr>
        <w:t xml:space="preserve"> </w:t>
      </w:r>
    </w:p>
    <w:p w14:paraId="42158F90" w14:textId="77777777" w:rsidR="00EF56FE" w:rsidRDefault="00EF56FE" w:rsidP="00EF56FE">
      <w:pPr>
        <w:ind w:left="720"/>
        <w:rPr>
          <w:color w:val="053A68" w:themeColor="text2"/>
          <w:sz w:val="26"/>
        </w:rPr>
      </w:pPr>
      <w:r w:rsidRPr="009A0D6F">
        <w:rPr>
          <w:color w:val="053A68" w:themeColor="text2"/>
          <w:sz w:val="26"/>
        </w:rPr>
        <w:t>Regularly providing information through internal communications supporting Flexible Working Arrangements for all staff including secondary caregivers, and Parental leave entitlements.</w:t>
      </w:r>
    </w:p>
    <w:p w14:paraId="503162F3" w14:textId="62B2EF6D" w:rsidR="00EF56FE" w:rsidRDefault="00EF56FE" w:rsidP="00EF56FE">
      <w:pPr>
        <w:ind w:left="720"/>
        <w:rPr>
          <w:color w:val="053A68" w:themeColor="text2"/>
          <w:sz w:val="26"/>
        </w:rPr>
      </w:pPr>
      <w:r w:rsidRPr="00577507">
        <w:rPr>
          <w:color w:val="053A68" w:themeColor="text2"/>
          <w:sz w:val="26"/>
        </w:rPr>
        <w:t xml:space="preserve">A </w:t>
      </w:r>
      <w:r w:rsidRPr="002B69FA">
        <w:rPr>
          <w:color w:val="053A68" w:themeColor="text2"/>
          <w:sz w:val="26"/>
        </w:rPr>
        <w:t>Parental and Maternity Leave</w:t>
      </w:r>
      <w:r w:rsidRPr="0089771D">
        <w:rPr>
          <w:i/>
          <w:color w:val="053A68" w:themeColor="text2"/>
          <w:sz w:val="26"/>
        </w:rPr>
        <w:t xml:space="preserve"> ‘Better Practice Guide’ (BPG)</w:t>
      </w:r>
      <w:r w:rsidRPr="002B69FA">
        <w:rPr>
          <w:color w:val="053A68" w:themeColor="text2"/>
          <w:sz w:val="26"/>
        </w:rPr>
        <w:t xml:space="preserve"> has been released</w:t>
      </w:r>
      <w:r w:rsidR="00592E4E">
        <w:rPr>
          <w:color w:val="053A68" w:themeColor="text2"/>
          <w:sz w:val="26"/>
        </w:rPr>
        <w:t>.</w:t>
      </w:r>
    </w:p>
    <w:p w14:paraId="5273C52C" w14:textId="3C46D7B1" w:rsidR="00EF56FE" w:rsidRDefault="00EF56FE" w:rsidP="00EF56FE"/>
    <w:p w14:paraId="05433FA0" w14:textId="77777777" w:rsidR="00750980" w:rsidRDefault="00750980">
      <w:pPr>
        <w:spacing w:line="360" w:lineRule="auto"/>
        <w:rPr>
          <w:rFonts w:asciiTheme="majorHAnsi" w:eastAsiaTheme="majorEastAsia" w:hAnsiTheme="majorHAnsi" w:cstheme="majorBidi"/>
          <w:sz w:val="40"/>
          <w:szCs w:val="32"/>
        </w:rPr>
      </w:pPr>
      <w:bookmarkStart w:id="1107" w:name="_Toc165991672"/>
      <w:bookmarkStart w:id="1108" w:name="_Toc166082970"/>
      <w:bookmarkStart w:id="1109" w:name="_Toc166160334"/>
      <w:bookmarkStart w:id="1110" w:name="_Toc166168033"/>
      <w:bookmarkStart w:id="1111" w:name="_Toc168329197"/>
      <w:bookmarkStart w:id="1112" w:name="_Toc168322853"/>
      <w:bookmarkStart w:id="1113" w:name="_Toc168387970"/>
      <w:bookmarkStart w:id="1114" w:name="_Toc168405625"/>
      <w:bookmarkStart w:id="1115" w:name="_Toc168408663"/>
      <w:bookmarkStart w:id="1116" w:name="_Toc168411064"/>
      <w:bookmarkStart w:id="1117" w:name="_Toc168405923"/>
      <w:bookmarkStart w:id="1118" w:name="_Toc168473731"/>
      <w:bookmarkStart w:id="1119" w:name="_Toc168471629"/>
      <w:bookmarkStart w:id="1120" w:name="_Toc168484689"/>
      <w:bookmarkStart w:id="1121" w:name="_Toc168495157"/>
      <w:bookmarkStart w:id="1122" w:name="_Toc168495606"/>
      <w:bookmarkStart w:id="1123" w:name="_Toc169103274"/>
      <w:bookmarkStart w:id="1124" w:name="_Toc169104748"/>
      <w:bookmarkStart w:id="1125" w:name="_Toc169278464"/>
      <w:bookmarkStart w:id="1126" w:name="_Toc169536903"/>
      <w:bookmarkStart w:id="1127" w:name="_Toc169708651"/>
      <w:bookmarkStart w:id="1128" w:name="_Toc170119695"/>
      <w:bookmarkStart w:id="1129" w:name="_Toc170138078"/>
      <w:bookmarkStart w:id="1130" w:name="_Toc170140151"/>
      <w:r>
        <w:br w:type="page"/>
      </w:r>
    </w:p>
    <w:p w14:paraId="20A8867F" w14:textId="596D7B0F" w:rsidR="00BA7046" w:rsidRDefault="00AD42D7" w:rsidP="00C16419">
      <w:pPr>
        <w:pStyle w:val="Heading1"/>
      </w:pPr>
      <w:bookmarkStart w:id="1131" w:name="_Toc181715738"/>
      <w:r>
        <w:lastRenderedPageBreak/>
        <w:t xml:space="preserve">Strategy impacts on </w:t>
      </w:r>
      <w:r w:rsidR="00C16419">
        <w:t>Action Area 4: Flexible ways of working</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tbl>
      <w:tblPr>
        <w:tblStyle w:val="TableGrid"/>
        <w:tblW w:w="0" w:type="auto"/>
        <w:tblLook w:val="04A0" w:firstRow="1" w:lastRow="0" w:firstColumn="1" w:lastColumn="0" w:noHBand="0" w:noVBand="1"/>
        <w:tblCaption w:val="Strategy impacts on Action Area 4: Flexible ways of working"/>
        <w:tblDescription w:val="Strategy impacts on Action Area 4: Flexible ways of working"/>
      </w:tblPr>
      <w:tblGrid>
        <w:gridCol w:w="3348"/>
        <w:gridCol w:w="1472"/>
        <w:gridCol w:w="4240"/>
      </w:tblGrid>
      <w:tr w:rsidR="005F6814" w:rsidRPr="009A4425" w14:paraId="541C37F2" w14:textId="77777777" w:rsidTr="00AD566C">
        <w:trPr>
          <w:trHeight w:val="432"/>
          <w:tblHeader/>
        </w:trPr>
        <w:tc>
          <w:tcPr>
            <w:tcW w:w="3348" w:type="dxa"/>
            <w:shd w:val="clear" w:color="auto" w:fill="4DA3AB" w:themeFill="accent1"/>
          </w:tcPr>
          <w:p w14:paraId="2B1195EE" w14:textId="77777777" w:rsidR="005F6814" w:rsidRPr="009A4425" w:rsidRDefault="005F6814" w:rsidP="005F6814">
            <w:pPr>
              <w:rPr>
                <w:b/>
                <w:sz w:val="24"/>
                <w:szCs w:val="24"/>
              </w:rPr>
            </w:pPr>
            <w:bookmarkStart w:id="1132" w:name="_Toc165991674"/>
            <w:bookmarkStart w:id="1133" w:name="_Toc166082972"/>
            <w:bookmarkStart w:id="1134" w:name="_Toc166160336"/>
            <w:bookmarkStart w:id="1135" w:name="_Toc166168035"/>
            <w:bookmarkStart w:id="1136" w:name="_Toc168329199"/>
            <w:bookmarkStart w:id="1137" w:name="_Toc168322855"/>
            <w:bookmarkStart w:id="1138" w:name="_Toc168387972"/>
            <w:bookmarkStart w:id="1139" w:name="_Toc168405627"/>
            <w:bookmarkStart w:id="1140" w:name="_Toc168408665"/>
            <w:bookmarkStart w:id="1141" w:name="_Toc168411066"/>
            <w:bookmarkStart w:id="1142" w:name="_Toc168405925"/>
            <w:bookmarkStart w:id="1143" w:name="_Toc168473733"/>
            <w:bookmarkStart w:id="1144" w:name="_Toc168471631"/>
            <w:bookmarkStart w:id="1145" w:name="_Toc168484691"/>
            <w:bookmarkStart w:id="1146" w:name="_Toc168495159"/>
            <w:bookmarkStart w:id="1147" w:name="_Toc168495608"/>
            <w:bookmarkStart w:id="1148" w:name="_Toc169103276"/>
            <w:bookmarkStart w:id="1149" w:name="_Toc169104750"/>
            <w:bookmarkStart w:id="1150" w:name="_Toc169278466"/>
            <w:bookmarkStart w:id="1151" w:name="_Toc169536905"/>
            <w:r w:rsidRPr="009A4425">
              <w:rPr>
                <w:b/>
                <w:sz w:val="24"/>
                <w:szCs w:val="24"/>
              </w:rPr>
              <w:t>Action</w:t>
            </w:r>
          </w:p>
        </w:tc>
        <w:tc>
          <w:tcPr>
            <w:tcW w:w="1472" w:type="dxa"/>
            <w:shd w:val="clear" w:color="auto" w:fill="4DA3AB" w:themeFill="accent1"/>
          </w:tcPr>
          <w:p w14:paraId="223CB965" w14:textId="5D459B95" w:rsidR="005F6814" w:rsidRPr="009A4425" w:rsidRDefault="00D537F9" w:rsidP="005F6814">
            <w:pPr>
              <w:rPr>
                <w:b/>
                <w:sz w:val="24"/>
                <w:szCs w:val="24"/>
              </w:rPr>
            </w:pPr>
            <w:r>
              <w:rPr>
                <w:b/>
                <w:sz w:val="24"/>
                <w:szCs w:val="24"/>
              </w:rPr>
              <w:t xml:space="preserve">Status </w:t>
            </w:r>
          </w:p>
        </w:tc>
        <w:tc>
          <w:tcPr>
            <w:tcW w:w="4240" w:type="dxa"/>
            <w:shd w:val="clear" w:color="auto" w:fill="4DA3AB" w:themeFill="accent1"/>
          </w:tcPr>
          <w:p w14:paraId="0EA1112A"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10108B61" w14:textId="77777777" w:rsidTr="006D6A10">
        <w:trPr>
          <w:trHeight w:val="6556"/>
        </w:trPr>
        <w:tc>
          <w:tcPr>
            <w:tcW w:w="3348" w:type="dxa"/>
            <w:shd w:val="clear" w:color="auto" w:fill="auto"/>
          </w:tcPr>
          <w:p w14:paraId="599B27E3" w14:textId="77777777" w:rsidR="005F6814" w:rsidRDefault="005F6814" w:rsidP="005F6814">
            <w:pPr>
              <w:rPr>
                <w:b/>
              </w:rPr>
            </w:pPr>
            <w:r>
              <w:rPr>
                <w:b/>
              </w:rPr>
              <w:t>(</w:t>
            </w:r>
            <w:r w:rsidRPr="00F80EBD">
              <w:rPr>
                <w:b/>
              </w:rPr>
              <w:t>Minimum standard)</w:t>
            </w:r>
            <w:r>
              <w:t xml:space="preserve"> </w:t>
            </w:r>
            <w:r w:rsidRPr="00640758">
              <w:t>Access to flexible work</w:t>
            </w:r>
            <w:r>
              <w:t>.</w:t>
            </w:r>
          </w:p>
          <w:p w14:paraId="30561BAA" w14:textId="77777777" w:rsidR="005F6814" w:rsidRDefault="005F6814" w:rsidP="00F9645E">
            <w:pPr>
              <w:pStyle w:val="BulletLevel1"/>
              <w:numPr>
                <w:ilvl w:val="0"/>
                <w:numId w:val="42"/>
              </w:numPr>
            </w:pPr>
            <w:r>
              <w:t xml:space="preserve">Gender-neutral, flexible work policies are in place for all employees. </w:t>
            </w:r>
          </w:p>
          <w:p w14:paraId="72700752" w14:textId="77777777" w:rsidR="005F6814" w:rsidRDefault="005F6814" w:rsidP="00F9645E">
            <w:pPr>
              <w:pStyle w:val="BulletLevel1"/>
              <w:numPr>
                <w:ilvl w:val="0"/>
                <w:numId w:val="42"/>
              </w:numPr>
            </w:pPr>
            <w:r>
              <w:t>Leaders and managers at all levels are able to role model flexible work where it is appropriate for the individual and the organisation.  </w:t>
            </w:r>
          </w:p>
          <w:p w14:paraId="4ED5C854" w14:textId="77777777" w:rsidR="005F6814" w:rsidRDefault="005F6814" w:rsidP="005F6814">
            <w:pPr>
              <w:pStyle w:val="BulletLevel1"/>
            </w:pPr>
          </w:p>
        </w:tc>
        <w:tc>
          <w:tcPr>
            <w:tcW w:w="1472" w:type="dxa"/>
            <w:shd w:val="clear" w:color="auto" w:fill="auto"/>
          </w:tcPr>
          <w:p w14:paraId="7A731BF3" w14:textId="77777777" w:rsidR="005F6814" w:rsidRPr="00CB1F5C" w:rsidRDefault="005F6814" w:rsidP="005F6814">
            <w:pPr>
              <w:rPr>
                <w:b/>
              </w:rPr>
            </w:pPr>
            <w:r>
              <w:rPr>
                <w:b/>
              </w:rPr>
              <w:t>Progress made</w:t>
            </w:r>
            <w:r w:rsidRPr="00CB1F5C">
              <w:rPr>
                <w:b/>
              </w:rPr>
              <w:t xml:space="preserve"> </w:t>
            </w:r>
          </w:p>
          <w:p w14:paraId="2D042686" w14:textId="77777777" w:rsidR="005F6814" w:rsidRPr="00CB1F5C" w:rsidRDefault="005F6814" w:rsidP="005F6814">
            <w:pPr>
              <w:rPr>
                <w:b/>
              </w:rPr>
            </w:pPr>
          </w:p>
          <w:p w14:paraId="1346B63A" w14:textId="77777777" w:rsidR="005F6814" w:rsidRPr="00CB1F5C" w:rsidRDefault="005F6814" w:rsidP="005F6814">
            <w:pPr>
              <w:rPr>
                <w:b/>
              </w:rPr>
            </w:pPr>
          </w:p>
          <w:p w14:paraId="1AC996DB" w14:textId="77777777" w:rsidR="005F6814" w:rsidRPr="00CB1F5C" w:rsidRDefault="005F6814" w:rsidP="005F6814">
            <w:pPr>
              <w:rPr>
                <w:b/>
              </w:rPr>
            </w:pPr>
          </w:p>
        </w:tc>
        <w:tc>
          <w:tcPr>
            <w:tcW w:w="4240" w:type="dxa"/>
            <w:shd w:val="clear" w:color="auto" w:fill="auto"/>
          </w:tcPr>
          <w:p w14:paraId="42AD037C" w14:textId="734AD6C6" w:rsidR="005F6814" w:rsidRDefault="002D068E" w:rsidP="00F9645E">
            <w:pPr>
              <w:pStyle w:val="BulletLevel1"/>
              <w:numPr>
                <w:ilvl w:val="0"/>
                <w:numId w:val="37"/>
              </w:numPr>
              <w:spacing w:before="0"/>
              <w:ind w:left="357"/>
            </w:pPr>
            <w:r w:rsidRPr="002D068E">
              <w:t>74%</w:t>
            </w:r>
            <w:r w:rsidR="005F6814" w:rsidRPr="002D068E">
              <w:t xml:space="preserve"> of APS employees</w:t>
            </w:r>
            <w:r w:rsidR="005F6814">
              <w:t xml:space="preserve"> accessed flexible work practices, increasing by 8</w:t>
            </w:r>
            <w:r>
              <w:t xml:space="preserve"> percentage points</w:t>
            </w:r>
            <w:r w:rsidR="005F6814">
              <w:t xml:space="preserve"> since 2021.</w:t>
            </w:r>
          </w:p>
          <w:p w14:paraId="026B812B" w14:textId="76C965A5" w:rsidR="005F6814" w:rsidRDefault="00A818F0" w:rsidP="00F9645E">
            <w:pPr>
              <w:pStyle w:val="BulletLevel1"/>
              <w:numPr>
                <w:ilvl w:val="0"/>
                <w:numId w:val="37"/>
              </w:numPr>
              <w:spacing w:before="0"/>
              <w:ind w:left="357"/>
            </w:pPr>
            <w:r>
              <w:t>The m</w:t>
            </w:r>
            <w:r w:rsidR="005F6814">
              <w:t>ain improvement in flexible work practices</w:t>
            </w:r>
            <w:r>
              <w:t xml:space="preserve"> </w:t>
            </w:r>
            <w:r w:rsidR="001C1A00">
              <w:t>was</w:t>
            </w:r>
            <w:r w:rsidR="005F6814">
              <w:t xml:space="preserve"> due to increased access to work from home arrangements.</w:t>
            </w:r>
          </w:p>
          <w:p w14:paraId="11318B57" w14:textId="656F597B" w:rsidR="005F6814" w:rsidRDefault="00635B1D" w:rsidP="00F9645E">
            <w:pPr>
              <w:pStyle w:val="BulletLevel1"/>
              <w:numPr>
                <w:ilvl w:val="0"/>
                <w:numId w:val="37"/>
              </w:numPr>
              <w:spacing w:before="0"/>
              <w:ind w:left="357"/>
            </w:pPr>
            <w:r>
              <w:t>97% of agencies h</w:t>
            </w:r>
            <w:r w:rsidR="005F6814">
              <w:t>ad flexible work policies in place.</w:t>
            </w:r>
          </w:p>
          <w:p w14:paraId="192F8C65" w14:textId="27F87E43" w:rsidR="005F6814" w:rsidRDefault="00164E7C" w:rsidP="00F9645E">
            <w:pPr>
              <w:pStyle w:val="BulletLevel1"/>
              <w:numPr>
                <w:ilvl w:val="0"/>
                <w:numId w:val="37"/>
              </w:numPr>
              <w:spacing w:before="0"/>
            </w:pPr>
            <w:r w:rsidRPr="00164E7C">
              <w:t xml:space="preserve">5% of </w:t>
            </w:r>
            <w:r w:rsidR="008169AE">
              <w:t xml:space="preserve">male </w:t>
            </w:r>
            <w:r>
              <w:t xml:space="preserve">employees </w:t>
            </w:r>
            <w:r w:rsidRPr="00164E7C">
              <w:t xml:space="preserve">utilised part-time work; this was significantly less than 11% of non-binary employees, 14% of employees who use a different gender term, and 19% of </w:t>
            </w:r>
            <w:r w:rsidR="000B466A">
              <w:t xml:space="preserve">female </w:t>
            </w:r>
            <w:r>
              <w:t>employees.</w:t>
            </w:r>
          </w:p>
          <w:p w14:paraId="34BB49F2" w14:textId="391DD248" w:rsidR="005F6814" w:rsidRDefault="0036783F" w:rsidP="00F9645E">
            <w:pPr>
              <w:pStyle w:val="BulletLevel1"/>
              <w:numPr>
                <w:ilvl w:val="0"/>
                <w:numId w:val="37"/>
              </w:numPr>
              <w:spacing w:before="0"/>
              <w:ind w:left="357"/>
            </w:pPr>
            <w:r>
              <w:t>60% of SES officers accessed flexible work practices</w:t>
            </w:r>
            <w:r w:rsidR="006F4CD0">
              <w:t>.</w:t>
            </w:r>
            <w:r>
              <w:t xml:space="preserve"> </w:t>
            </w:r>
            <w:r w:rsidR="006F4CD0">
              <w:t>Their</w:t>
            </w:r>
            <w:r>
              <w:t xml:space="preserve"> use of part-time and flexible hours of work were significantly lower</w:t>
            </w:r>
            <w:r w:rsidR="008169AE">
              <w:t xml:space="preserve"> than </w:t>
            </w:r>
            <w:r w:rsidR="006F4CD0">
              <w:t>the APS average, while their working from home use was similar.</w:t>
            </w:r>
          </w:p>
        </w:tc>
      </w:tr>
      <w:tr w:rsidR="005F6814" w14:paraId="54B4E6E1" w14:textId="77777777" w:rsidTr="00456F2A">
        <w:trPr>
          <w:trHeight w:val="3535"/>
        </w:trPr>
        <w:tc>
          <w:tcPr>
            <w:tcW w:w="3348" w:type="dxa"/>
            <w:shd w:val="clear" w:color="auto" w:fill="auto"/>
          </w:tcPr>
          <w:p w14:paraId="65BFC022" w14:textId="77777777" w:rsidR="005F6814" w:rsidRPr="00CE3066" w:rsidRDefault="005F6814" w:rsidP="005F6814">
            <w:pPr>
              <w:pStyle w:val="BulletLevel1"/>
              <w:ind w:left="0" w:firstLine="0"/>
              <w:rPr>
                <w:b/>
              </w:rPr>
            </w:pPr>
            <w:r>
              <w:rPr>
                <w:b/>
              </w:rPr>
              <w:t>(</w:t>
            </w:r>
            <w:r w:rsidRPr="00CB1F5C">
              <w:rPr>
                <w:b/>
              </w:rPr>
              <w:t>Minimum standard</w:t>
            </w:r>
            <w:r>
              <w:rPr>
                <w:b/>
              </w:rPr>
              <w:t>)</w:t>
            </w:r>
            <w:r w:rsidRPr="00CB1F5C">
              <w:rPr>
                <w:b/>
              </w:rPr>
              <w:t xml:space="preserve"> </w:t>
            </w:r>
            <w:r w:rsidRPr="00640758">
              <w:t>Valuing and supporting all types of caring responsibilities</w:t>
            </w:r>
            <w:r>
              <w:t>.</w:t>
            </w:r>
          </w:p>
          <w:p w14:paraId="083AC587" w14:textId="77777777" w:rsidR="005F6814" w:rsidRDefault="005F6814" w:rsidP="00F9645E">
            <w:pPr>
              <w:pStyle w:val="BulletLevel1"/>
              <w:numPr>
                <w:ilvl w:val="0"/>
                <w:numId w:val="43"/>
              </w:numPr>
            </w:pPr>
            <w:r>
              <w:t>Managers are equipped to support all genders manage their family and caring responsibilities, including elder and disability care, such as through flexible ways of working.</w:t>
            </w:r>
          </w:p>
        </w:tc>
        <w:tc>
          <w:tcPr>
            <w:tcW w:w="1472" w:type="dxa"/>
            <w:shd w:val="clear" w:color="auto" w:fill="auto"/>
          </w:tcPr>
          <w:p w14:paraId="51B8721B" w14:textId="77777777" w:rsidR="005F6814" w:rsidRPr="00CB1F5C" w:rsidRDefault="005F6814" w:rsidP="005F6814">
            <w:pPr>
              <w:rPr>
                <w:b/>
              </w:rPr>
            </w:pPr>
            <w:r>
              <w:rPr>
                <w:b/>
              </w:rPr>
              <w:t>Progress made</w:t>
            </w:r>
            <w:r w:rsidRPr="00CB1F5C">
              <w:rPr>
                <w:b/>
              </w:rPr>
              <w:t xml:space="preserve"> </w:t>
            </w:r>
          </w:p>
        </w:tc>
        <w:tc>
          <w:tcPr>
            <w:tcW w:w="4240" w:type="dxa"/>
            <w:shd w:val="clear" w:color="auto" w:fill="auto"/>
          </w:tcPr>
          <w:p w14:paraId="2BFE5A24" w14:textId="1A970D6D" w:rsidR="005F6814" w:rsidRDefault="00BC46B0" w:rsidP="00F9645E">
            <w:pPr>
              <w:pStyle w:val="BulletLevel1"/>
              <w:numPr>
                <w:ilvl w:val="0"/>
                <w:numId w:val="37"/>
              </w:numPr>
              <w:spacing w:before="0"/>
              <w:ind w:left="357"/>
            </w:pPr>
            <w:r>
              <w:t>80</w:t>
            </w:r>
            <w:r w:rsidR="00290C26">
              <w:t xml:space="preserve">% </w:t>
            </w:r>
            <w:r w:rsidR="005F6814">
              <w:t>of carers accessed flexible work practices, especially those with small children.</w:t>
            </w:r>
          </w:p>
          <w:p w14:paraId="57D4D2DF" w14:textId="77777777" w:rsidR="005F6814" w:rsidRPr="008777A5" w:rsidRDefault="005F6814" w:rsidP="00F9645E">
            <w:pPr>
              <w:pStyle w:val="BulletLevel1"/>
              <w:numPr>
                <w:ilvl w:val="0"/>
                <w:numId w:val="37"/>
              </w:numPr>
              <w:spacing w:before="0"/>
              <w:ind w:left="357"/>
            </w:pPr>
            <w:r>
              <w:t>Consistent with all employees, 11% of carers were not confident that if they requested a flexible work arrangement it would be given reasonable consideration.</w:t>
            </w:r>
          </w:p>
          <w:p w14:paraId="37F35B03" w14:textId="77777777" w:rsidR="005F6814" w:rsidRDefault="005F6814" w:rsidP="00F9645E">
            <w:pPr>
              <w:pStyle w:val="BulletLevel1"/>
              <w:numPr>
                <w:ilvl w:val="0"/>
                <w:numId w:val="37"/>
              </w:numPr>
              <w:spacing w:before="0"/>
              <w:ind w:left="357"/>
            </w:pPr>
            <w:r>
              <w:t>Improved APS condition</w:t>
            </w:r>
            <w:r w:rsidR="00290C26">
              <w:t>s for carers, including</w:t>
            </w:r>
            <w:r>
              <w:t xml:space="preserve"> 18 days carers leave available across all agencies and only one medical certificate required annu</w:t>
            </w:r>
            <w:r w:rsidR="00290C26">
              <w:t>ally for some carers, should improve the ability of carers to manage family and caring responsibilities.</w:t>
            </w:r>
          </w:p>
          <w:p w14:paraId="1BEC563B" w14:textId="13AEE77D" w:rsidR="005F6814" w:rsidRDefault="005F6814" w:rsidP="006D6A10">
            <w:pPr>
              <w:pStyle w:val="BulletLevel1"/>
              <w:spacing w:before="0"/>
              <w:ind w:left="-3" w:firstLine="0"/>
            </w:pPr>
          </w:p>
        </w:tc>
      </w:tr>
      <w:tr w:rsidR="005F6814" w14:paraId="49B29785" w14:textId="77777777" w:rsidTr="005F6814">
        <w:trPr>
          <w:trHeight w:val="1408"/>
        </w:trPr>
        <w:tc>
          <w:tcPr>
            <w:tcW w:w="3348" w:type="dxa"/>
            <w:shd w:val="clear" w:color="auto" w:fill="auto"/>
          </w:tcPr>
          <w:p w14:paraId="3B0A3096" w14:textId="77777777" w:rsidR="005F6814" w:rsidRPr="009A4425" w:rsidRDefault="005F6814" w:rsidP="005F6814">
            <w:r>
              <w:rPr>
                <w:b/>
              </w:rPr>
              <w:lastRenderedPageBreak/>
              <w:t xml:space="preserve">4A </w:t>
            </w:r>
            <w:r>
              <w:t>Agencies will review flexible work policies and practices to ensure they provide for a variety of contexts and settings.</w:t>
            </w:r>
          </w:p>
        </w:tc>
        <w:tc>
          <w:tcPr>
            <w:tcW w:w="1472" w:type="dxa"/>
            <w:shd w:val="clear" w:color="auto" w:fill="auto"/>
          </w:tcPr>
          <w:p w14:paraId="10F6C515" w14:textId="77777777" w:rsidR="005F6814" w:rsidRDefault="005F6814" w:rsidP="005F6814">
            <w:pPr>
              <w:rPr>
                <w:b/>
              </w:rPr>
            </w:pPr>
            <w:r>
              <w:rPr>
                <w:b/>
              </w:rPr>
              <w:t>Achieved</w:t>
            </w:r>
          </w:p>
        </w:tc>
        <w:tc>
          <w:tcPr>
            <w:tcW w:w="4240" w:type="dxa"/>
            <w:shd w:val="clear" w:color="auto" w:fill="auto"/>
          </w:tcPr>
          <w:p w14:paraId="7CDB1706" w14:textId="77777777" w:rsidR="005F6814" w:rsidRDefault="005F6814" w:rsidP="00F9645E">
            <w:pPr>
              <w:pStyle w:val="BulletLevel1"/>
              <w:numPr>
                <w:ilvl w:val="0"/>
                <w:numId w:val="37"/>
              </w:numPr>
              <w:spacing w:before="0"/>
              <w:ind w:left="357"/>
            </w:pPr>
            <w:r>
              <w:t>Flexible work policies</w:t>
            </w:r>
            <w:r w:rsidR="001A3353">
              <w:t xml:space="preserve"> have been</w:t>
            </w:r>
            <w:r>
              <w:t xml:space="preserve"> reviewed as part of APS bargaining. </w:t>
            </w:r>
            <w:r w:rsidR="001A3353">
              <w:t xml:space="preserve">An </w:t>
            </w:r>
            <w:r>
              <w:t xml:space="preserve">APS </w:t>
            </w:r>
            <w:r w:rsidR="001A3353">
              <w:t>s</w:t>
            </w:r>
            <w:r>
              <w:t xml:space="preserve">tatement of </w:t>
            </w:r>
            <w:r w:rsidR="001A3353">
              <w:t>c</w:t>
            </w:r>
            <w:r>
              <w:t xml:space="preserve">ommon </w:t>
            </w:r>
            <w:r w:rsidR="001A3353">
              <w:t>c</w:t>
            </w:r>
            <w:r>
              <w:t>onditions and APS</w:t>
            </w:r>
            <w:r w:rsidR="001A3353">
              <w:t xml:space="preserve"> principles</w:t>
            </w:r>
            <w:r>
              <w:t xml:space="preserve"> of flexible work </w:t>
            </w:r>
            <w:r w:rsidR="001A3353">
              <w:t xml:space="preserve">was </w:t>
            </w:r>
            <w:r>
              <w:t>released in 2023.</w:t>
            </w:r>
          </w:p>
          <w:p w14:paraId="65F38141" w14:textId="1C90DF81" w:rsidR="005F6814" w:rsidRDefault="005F6814" w:rsidP="006D6A10">
            <w:pPr>
              <w:pStyle w:val="BulletLevel1"/>
              <w:spacing w:before="0"/>
              <w:ind w:left="-3" w:firstLine="0"/>
            </w:pPr>
          </w:p>
        </w:tc>
      </w:tr>
      <w:tr w:rsidR="005F6814" w14:paraId="4F11EFDC" w14:textId="77777777" w:rsidTr="00456F2A">
        <w:trPr>
          <w:trHeight w:val="2820"/>
        </w:trPr>
        <w:tc>
          <w:tcPr>
            <w:tcW w:w="3348" w:type="dxa"/>
            <w:shd w:val="clear" w:color="auto" w:fill="auto"/>
          </w:tcPr>
          <w:p w14:paraId="636B9B49" w14:textId="77777777" w:rsidR="005F6814" w:rsidRDefault="005F6814" w:rsidP="005F6814">
            <w:r>
              <w:rPr>
                <w:b/>
              </w:rPr>
              <w:t>4</w:t>
            </w:r>
            <w:r w:rsidRPr="009A4425">
              <w:rPr>
                <w:b/>
              </w:rPr>
              <w:t>B</w:t>
            </w:r>
            <w:r>
              <w:t xml:space="preserve"> Agencies will provide new parents a flexible, supportive and enabling environment in line with the Australian National Breastfeeding Strategy: 2019 and Beyond, which could include seeking accreditation as a ‘Breastfeeding Friendly Workplace’.</w:t>
            </w:r>
          </w:p>
        </w:tc>
        <w:tc>
          <w:tcPr>
            <w:tcW w:w="1472" w:type="dxa"/>
            <w:shd w:val="clear" w:color="auto" w:fill="auto"/>
          </w:tcPr>
          <w:p w14:paraId="323134C9" w14:textId="77777777" w:rsidR="005F6814" w:rsidRPr="009A4425" w:rsidRDefault="005F6814" w:rsidP="005F6814">
            <w:pPr>
              <w:rPr>
                <w:b/>
              </w:rPr>
            </w:pPr>
            <w:r>
              <w:rPr>
                <w:b/>
              </w:rPr>
              <w:t>Progress made</w:t>
            </w:r>
          </w:p>
        </w:tc>
        <w:tc>
          <w:tcPr>
            <w:tcW w:w="4240" w:type="dxa"/>
            <w:shd w:val="clear" w:color="auto" w:fill="auto"/>
          </w:tcPr>
          <w:p w14:paraId="24C2C0C3" w14:textId="151B8ED0" w:rsidR="005F6814" w:rsidRDefault="005F6814" w:rsidP="00F9645E">
            <w:pPr>
              <w:pStyle w:val="BulletLevel1"/>
              <w:numPr>
                <w:ilvl w:val="0"/>
                <w:numId w:val="37"/>
              </w:numPr>
              <w:spacing w:before="0"/>
              <w:ind w:left="357"/>
            </w:pPr>
            <w:r>
              <w:t>96% of agencies offered</w:t>
            </w:r>
            <w:r w:rsidR="001A3353">
              <w:t xml:space="preserve"> on-site</w:t>
            </w:r>
            <w:r>
              <w:t xml:space="preserve"> breast feeding facilities.</w:t>
            </w:r>
          </w:p>
          <w:p w14:paraId="5E69C617" w14:textId="1ABBF375" w:rsidR="005F6814" w:rsidRDefault="005F6814" w:rsidP="00F9645E">
            <w:pPr>
              <w:pStyle w:val="BulletLevel1"/>
              <w:numPr>
                <w:ilvl w:val="0"/>
                <w:numId w:val="37"/>
              </w:numPr>
              <w:spacing w:before="0"/>
              <w:ind w:left="357"/>
            </w:pPr>
            <w:r>
              <w:t>APS-wide condition introdu</w:t>
            </w:r>
            <w:r w:rsidR="001A3353">
              <w:t xml:space="preserve">ced that </w:t>
            </w:r>
            <w:r w:rsidR="00792DAA">
              <w:t xml:space="preserve">ensures </w:t>
            </w:r>
            <w:r>
              <w:t xml:space="preserve">parents </w:t>
            </w:r>
            <w:r w:rsidR="00792DAA">
              <w:t xml:space="preserve">are offered </w:t>
            </w:r>
            <w:r>
              <w:t>a break to breastfeed and express milk for their baby.</w:t>
            </w:r>
          </w:p>
          <w:p w14:paraId="0A0410DF" w14:textId="799143CC" w:rsidR="005F6814" w:rsidRDefault="000A5ED1" w:rsidP="00F9645E">
            <w:pPr>
              <w:pStyle w:val="BulletLevel1"/>
              <w:numPr>
                <w:ilvl w:val="0"/>
                <w:numId w:val="37"/>
              </w:numPr>
              <w:spacing w:before="0"/>
              <w:ind w:left="357"/>
            </w:pPr>
            <w:r w:rsidRPr="000A5ED1">
              <w:t xml:space="preserve">In December 2023, 21 </w:t>
            </w:r>
            <w:r w:rsidR="005F6814" w:rsidRPr="000A5ED1">
              <w:t>agencies were breastfeeding accredited</w:t>
            </w:r>
            <w:r w:rsidRPr="000A5ED1">
              <w:t xml:space="preserve"> and another </w:t>
            </w:r>
            <w:r w:rsidR="00B54D2D">
              <w:t>4</w:t>
            </w:r>
            <w:r w:rsidRPr="000A5ED1">
              <w:t xml:space="preserve"> were in the process of becoming accredited</w:t>
            </w:r>
            <w:r w:rsidR="005F6814" w:rsidRPr="000A5ED1">
              <w:t>.</w:t>
            </w:r>
            <w:r w:rsidR="005F6814">
              <w:t xml:space="preserve"> This had increased slightly since the start of the Strategy.</w:t>
            </w:r>
          </w:p>
          <w:p w14:paraId="1AE1449D" w14:textId="0F27EEE2" w:rsidR="005F6814" w:rsidRDefault="005F6814" w:rsidP="006D6A10">
            <w:pPr>
              <w:pStyle w:val="BulletLevel1"/>
              <w:spacing w:before="0"/>
              <w:ind w:left="-3" w:firstLine="0"/>
            </w:pPr>
          </w:p>
        </w:tc>
      </w:tr>
      <w:tr w:rsidR="005F6814" w14:paraId="21A1F65D" w14:textId="77777777" w:rsidTr="005F6814">
        <w:trPr>
          <w:trHeight w:val="1978"/>
        </w:trPr>
        <w:tc>
          <w:tcPr>
            <w:tcW w:w="3348" w:type="dxa"/>
            <w:shd w:val="clear" w:color="auto" w:fill="auto"/>
          </w:tcPr>
          <w:p w14:paraId="7E2BA6EE" w14:textId="77777777" w:rsidR="005F6814" w:rsidRDefault="005F6814" w:rsidP="005F6814">
            <w:r>
              <w:rPr>
                <w:b/>
              </w:rPr>
              <w:t>4</w:t>
            </w:r>
            <w:r w:rsidRPr="009A4425">
              <w:rPr>
                <w:b/>
              </w:rPr>
              <w:t>C</w:t>
            </w:r>
            <w:r>
              <w:t xml:space="preserve"> Agencies will enhance manager capability, including people management, and equip middle managers to lead flexible teams</w:t>
            </w:r>
          </w:p>
        </w:tc>
        <w:tc>
          <w:tcPr>
            <w:tcW w:w="1472" w:type="dxa"/>
            <w:shd w:val="clear" w:color="auto" w:fill="auto"/>
          </w:tcPr>
          <w:p w14:paraId="6BAFFAC2" w14:textId="77777777" w:rsidR="005F6814" w:rsidRPr="00432372" w:rsidRDefault="005F6814" w:rsidP="005F6814">
            <w:pPr>
              <w:rPr>
                <w:b/>
              </w:rPr>
            </w:pPr>
            <w:r>
              <w:rPr>
                <w:b/>
              </w:rPr>
              <w:t>Progress made</w:t>
            </w:r>
          </w:p>
        </w:tc>
        <w:tc>
          <w:tcPr>
            <w:tcW w:w="4240" w:type="dxa"/>
            <w:shd w:val="clear" w:color="auto" w:fill="auto"/>
          </w:tcPr>
          <w:p w14:paraId="5933DFE2" w14:textId="3A325886" w:rsidR="005F6814" w:rsidRDefault="005F6814" w:rsidP="00F9645E">
            <w:pPr>
              <w:pStyle w:val="BulletLevel1"/>
              <w:numPr>
                <w:ilvl w:val="0"/>
                <w:numId w:val="37"/>
              </w:numPr>
              <w:spacing w:before="0"/>
              <w:ind w:left="357"/>
            </w:pPr>
            <w:r>
              <w:t>54% of agencies had measures to offer training for all employees to work with flexible teams.</w:t>
            </w:r>
          </w:p>
          <w:p w14:paraId="22ED8653" w14:textId="77777777" w:rsidR="005F6814" w:rsidRDefault="005F6814" w:rsidP="00F9645E">
            <w:pPr>
              <w:pStyle w:val="BulletLevel1"/>
              <w:numPr>
                <w:ilvl w:val="0"/>
                <w:numId w:val="37"/>
              </w:numPr>
              <w:spacing w:before="0"/>
              <w:ind w:left="357"/>
            </w:pPr>
            <w:r>
              <w:t>The APS Academy offered courses that enhance manager capability in leading flexible teams.</w:t>
            </w:r>
          </w:p>
          <w:p w14:paraId="3620C13C" w14:textId="55D9E330" w:rsidR="005F6814" w:rsidRDefault="005F6814" w:rsidP="006D6A10">
            <w:pPr>
              <w:pStyle w:val="BulletLevel1"/>
              <w:spacing w:before="0"/>
              <w:ind w:left="-3" w:firstLine="0"/>
            </w:pPr>
          </w:p>
        </w:tc>
      </w:tr>
      <w:tr w:rsidR="005F6814" w14:paraId="1AF006A1" w14:textId="77777777" w:rsidTr="00456F2A">
        <w:trPr>
          <w:trHeight w:val="1967"/>
        </w:trPr>
        <w:tc>
          <w:tcPr>
            <w:tcW w:w="3348" w:type="dxa"/>
            <w:shd w:val="clear" w:color="auto" w:fill="auto"/>
          </w:tcPr>
          <w:p w14:paraId="5D74FFE9" w14:textId="77777777" w:rsidR="005F6814" w:rsidRPr="0054405B" w:rsidRDefault="005F6814" w:rsidP="005F6814">
            <w:r>
              <w:rPr>
                <w:b/>
              </w:rPr>
              <w:t xml:space="preserve">4D </w:t>
            </w:r>
            <w:r w:rsidRPr="00CE3066">
              <w:t>Agencies will consider advertising all APS positions as full time, part-time and job share</w:t>
            </w:r>
          </w:p>
        </w:tc>
        <w:tc>
          <w:tcPr>
            <w:tcW w:w="1472" w:type="dxa"/>
            <w:shd w:val="clear" w:color="auto" w:fill="auto"/>
          </w:tcPr>
          <w:p w14:paraId="6C8A7B56" w14:textId="6F32009E" w:rsidR="005F6814" w:rsidRDefault="001B013B" w:rsidP="001B013B">
            <w:r>
              <w:rPr>
                <w:b/>
              </w:rPr>
              <w:t>Progress made</w:t>
            </w:r>
          </w:p>
        </w:tc>
        <w:tc>
          <w:tcPr>
            <w:tcW w:w="4240" w:type="dxa"/>
            <w:shd w:val="clear" w:color="auto" w:fill="auto"/>
          </w:tcPr>
          <w:p w14:paraId="6E21D15D" w14:textId="77777777" w:rsidR="0061794A" w:rsidRDefault="005F6814" w:rsidP="00F9645E">
            <w:pPr>
              <w:pStyle w:val="BulletLevel1"/>
              <w:numPr>
                <w:ilvl w:val="0"/>
                <w:numId w:val="37"/>
              </w:numPr>
              <w:spacing w:before="0"/>
              <w:ind w:left="357"/>
            </w:pPr>
            <w:r>
              <w:t>29% of agencies considered advertising all positions full-time, part-time</w:t>
            </w:r>
            <w:r w:rsidR="00957EAA">
              <w:t>,</w:t>
            </w:r>
            <w:r>
              <w:t xml:space="preserve"> and </w:t>
            </w:r>
            <w:r w:rsidR="00957EAA">
              <w:t xml:space="preserve">as a </w:t>
            </w:r>
            <w:r>
              <w:t>job share.</w:t>
            </w:r>
          </w:p>
          <w:p w14:paraId="27E43319" w14:textId="51B24027" w:rsidR="005F6814" w:rsidRDefault="001B013B" w:rsidP="00F9645E">
            <w:pPr>
              <w:pStyle w:val="BulletLevel1"/>
              <w:numPr>
                <w:ilvl w:val="0"/>
                <w:numId w:val="37"/>
              </w:numPr>
              <w:spacing w:before="0"/>
              <w:ind w:left="357"/>
            </w:pPr>
            <w:r w:rsidRPr="0061794A">
              <w:t xml:space="preserve">Of those agencies that </w:t>
            </w:r>
            <w:r w:rsidR="0051652C">
              <w:t>did not advertise all positions full-time, part-time, and as a job share</w:t>
            </w:r>
            <w:r w:rsidRPr="0061794A">
              <w:t>,</w:t>
            </w:r>
            <w:r w:rsidR="0061794A" w:rsidRPr="0061794A">
              <w:t xml:space="preserve"> </w:t>
            </w:r>
            <w:r w:rsidR="0061794A">
              <w:t xml:space="preserve">only </w:t>
            </w:r>
            <w:r w:rsidR="0061794A" w:rsidRPr="0061794A">
              <w:t>9% reported that they were too small to either offer these options or look into this matter</w:t>
            </w:r>
            <w:r w:rsidR="0061794A">
              <w:t xml:space="preserve">, and </w:t>
            </w:r>
            <w:r>
              <w:t xml:space="preserve">8% reported that they had not yet considered offering all positions with these options. The </w:t>
            </w:r>
            <w:r w:rsidR="00250BE2">
              <w:t xml:space="preserve">remaining agencies </w:t>
            </w:r>
            <w:r>
              <w:t xml:space="preserve">could not design </w:t>
            </w:r>
            <w:r w:rsidR="0051652C">
              <w:t xml:space="preserve">their </w:t>
            </w:r>
            <w:r>
              <w:t xml:space="preserve">positions to meet all </w:t>
            </w:r>
            <w:r w:rsidR="00B54D2D">
              <w:t>3</w:t>
            </w:r>
            <w:r>
              <w:t xml:space="preserve"> criteria.</w:t>
            </w:r>
          </w:p>
          <w:p w14:paraId="054DF656" w14:textId="1548E0C9" w:rsidR="001B013B" w:rsidRDefault="001B013B" w:rsidP="0061794A">
            <w:pPr>
              <w:pStyle w:val="BulletLevel1"/>
              <w:spacing w:before="0"/>
              <w:ind w:left="357" w:firstLine="0"/>
            </w:pPr>
          </w:p>
        </w:tc>
      </w:tr>
    </w:tbl>
    <w:p w14:paraId="3A86F702" w14:textId="7293569E" w:rsidR="00BA7046" w:rsidRDefault="007E66C8" w:rsidP="005B6879">
      <w:pPr>
        <w:pStyle w:val="Heading2"/>
      </w:pPr>
      <w:bookmarkStart w:id="1152" w:name="_Toc169708652"/>
      <w:bookmarkStart w:id="1153" w:name="_Toc170119696"/>
      <w:bookmarkStart w:id="1154" w:name="_Toc170138079"/>
      <w:bookmarkStart w:id="1155" w:name="_Toc170140152"/>
      <w:bookmarkStart w:id="1156" w:name="_Toc181715739"/>
      <w:r>
        <w:t>Access</w:t>
      </w:r>
      <w:r w:rsidR="005B6879">
        <w:t xml:space="preserve"> of flexible work arrangements</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42622A97" w14:textId="001BB01A" w:rsidR="00883DDD" w:rsidRDefault="007C3934" w:rsidP="007C3934">
      <w:pPr>
        <w:pStyle w:val="Heading3"/>
      </w:pPr>
      <w:bookmarkStart w:id="1157" w:name="_Toc165991675"/>
      <w:bookmarkStart w:id="1158" w:name="_Toc166082973"/>
      <w:bookmarkStart w:id="1159" w:name="_Toc166160337"/>
      <w:bookmarkStart w:id="1160" w:name="_Toc166168036"/>
      <w:bookmarkStart w:id="1161" w:name="_Toc168329200"/>
      <w:bookmarkStart w:id="1162" w:name="_Toc168322856"/>
      <w:bookmarkStart w:id="1163" w:name="_Toc168387973"/>
      <w:bookmarkStart w:id="1164" w:name="_Toc168405628"/>
      <w:bookmarkStart w:id="1165" w:name="_Toc168408666"/>
      <w:bookmarkStart w:id="1166" w:name="_Toc168411067"/>
      <w:bookmarkStart w:id="1167" w:name="_Toc168405926"/>
      <w:bookmarkStart w:id="1168" w:name="_Toc168473734"/>
      <w:bookmarkStart w:id="1169" w:name="_Toc168471632"/>
      <w:bookmarkStart w:id="1170" w:name="_Toc168484692"/>
      <w:bookmarkStart w:id="1171" w:name="_Toc168495160"/>
      <w:bookmarkStart w:id="1172" w:name="_Toc168495609"/>
      <w:bookmarkStart w:id="1173" w:name="_Toc169103277"/>
      <w:bookmarkStart w:id="1174" w:name="_Toc169104751"/>
      <w:bookmarkStart w:id="1175" w:name="_Toc169278467"/>
      <w:bookmarkStart w:id="1176" w:name="_Toc169536906"/>
      <w:bookmarkStart w:id="1177" w:name="_Toc169708653"/>
      <w:bookmarkStart w:id="1178" w:name="_Toc170119697"/>
      <w:bookmarkStart w:id="1179" w:name="_Toc170138080"/>
      <w:bookmarkStart w:id="1180" w:name="_Toc170140153"/>
      <w:r>
        <w:t>Over</w:t>
      </w:r>
      <w:r w:rsidR="00CC4DFF">
        <w:t>view of</w:t>
      </w:r>
      <w:r>
        <w:t xml:space="preserve"> </w:t>
      </w:r>
      <w:bookmarkEnd w:id="1157"/>
      <w:bookmarkEnd w:id="1158"/>
      <w:r w:rsidR="007E66C8">
        <w:t>access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16351B64" w14:textId="6C0E820D" w:rsidR="00B710FB" w:rsidRDefault="00B44A7D" w:rsidP="00B61704">
      <w:r>
        <w:t>F</w:t>
      </w:r>
      <w:r w:rsidR="0028199E">
        <w:t xml:space="preserve">lexible work arrangements was commonplace </w:t>
      </w:r>
      <w:r w:rsidR="00EB3F34">
        <w:t>among APS employees</w:t>
      </w:r>
      <w:r w:rsidR="00990F23">
        <w:t xml:space="preserve">, </w:t>
      </w:r>
      <w:r w:rsidR="0028199E">
        <w:t xml:space="preserve">with </w:t>
      </w:r>
      <w:r w:rsidR="00C37536">
        <w:t>74%</w:t>
      </w:r>
      <w:r w:rsidR="0096285F">
        <w:t xml:space="preserve"> </w:t>
      </w:r>
      <w:r w:rsidR="00CB3F74">
        <w:t>of employees</w:t>
      </w:r>
      <w:r w:rsidR="0096285F">
        <w:t xml:space="preserve"> </w:t>
      </w:r>
      <w:r w:rsidR="0028199E">
        <w:t>indicating that they had</w:t>
      </w:r>
      <w:r w:rsidR="00CB3F74">
        <w:t xml:space="preserve"> utilised</w:t>
      </w:r>
      <w:r w:rsidR="00DA6283">
        <w:t xml:space="preserve"> at least one</w:t>
      </w:r>
      <w:r w:rsidR="00CB3F74">
        <w:t xml:space="preserve"> flexible work practice</w:t>
      </w:r>
      <w:r w:rsidR="00C00E5A">
        <w:t xml:space="preserve"> </w:t>
      </w:r>
      <w:r w:rsidR="00EB3F34">
        <w:t xml:space="preserve">in </w:t>
      </w:r>
      <w:r w:rsidR="001F4F0D">
        <w:t>the</w:t>
      </w:r>
      <w:r w:rsidR="00EB3F34">
        <w:t xml:space="preserve"> 2023</w:t>
      </w:r>
      <w:r w:rsidR="001F4F0D">
        <w:t xml:space="preserve"> APS Employee Census</w:t>
      </w:r>
      <w:r w:rsidR="00DA6283">
        <w:t xml:space="preserve"> (</w:t>
      </w:r>
      <w:r w:rsidR="00DA6283">
        <w:fldChar w:fldCharType="begin"/>
      </w:r>
      <w:r w:rsidR="00DA6283">
        <w:instrText xml:space="preserve"> REF _Ref164168813 \h </w:instrText>
      </w:r>
      <w:r w:rsidR="00DA6283">
        <w:fldChar w:fldCharType="separate"/>
      </w:r>
      <w:r w:rsidR="002B65E2">
        <w:t xml:space="preserve">Figure </w:t>
      </w:r>
      <w:r w:rsidR="002B65E2">
        <w:rPr>
          <w:noProof/>
        </w:rPr>
        <w:t>15</w:t>
      </w:r>
      <w:r w:rsidR="00DA6283">
        <w:fldChar w:fldCharType="end"/>
      </w:r>
      <w:r w:rsidR="00DA6283">
        <w:t>)</w:t>
      </w:r>
      <w:r w:rsidR="00B710FB">
        <w:t>. This has i</w:t>
      </w:r>
      <w:r w:rsidR="00FE4B77">
        <w:t>mproved since the start of the S</w:t>
      </w:r>
      <w:r w:rsidR="00B710FB">
        <w:t>trategy in 2021</w:t>
      </w:r>
      <w:r w:rsidR="00954B4D">
        <w:t xml:space="preserve">, with an increase of 8 </w:t>
      </w:r>
      <w:r w:rsidR="00954B4D">
        <w:lastRenderedPageBreak/>
        <w:t xml:space="preserve">percentage points </w:t>
      </w:r>
      <w:r w:rsidR="00310D6E">
        <w:t>due to the increased uptake of working from home. 57% of</w:t>
      </w:r>
      <w:r w:rsidR="00CB3F74">
        <w:t xml:space="preserve"> </w:t>
      </w:r>
      <w:r w:rsidR="00B710FB">
        <w:t xml:space="preserve">employees </w:t>
      </w:r>
      <w:r w:rsidR="00CB3F74">
        <w:t xml:space="preserve">accessed </w:t>
      </w:r>
      <w:r w:rsidR="00B710FB">
        <w:t>working</w:t>
      </w:r>
      <w:r w:rsidR="008F5F5F">
        <w:t xml:space="preserve"> away from the office </w:t>
      </w:r>
      <w:r w:rsidR="00B710FB">
        <w:t>/</w:t>
      </w:r>
      <w:r w:rsidR="008F5F5F">
        <w:t xml:space="preserve"> </w:t>
      </w:r>
      <w:r w:rsidR="00CB3F74">
        <w:t>w</w:t>
      </w:r>
      <w:r w:rsidR="00B710FB">
        <w:t>orking from home</w:t>
      </w:r>
      <w:r w:rsidR="00250BE2">
        <w:t xml:space="preserve"> at least part of the time</w:t>
      </w:r>
      <w:r w:rsidR="00B80ABC">
        <w:t xml:space="preserve">. </w:t>
      </w:r>
      <w:r w:rsidR="003650E2">
        <w:t>Not commonly used were a</w:t>
      </w:r>
      <w:r w:rsidR="009E2365">
        <w:t xml:space="preserve"> c</w:t>
      </w:r>
      <w:r w:rsidR="00E8283B">
        <w:t>ompressed work week and job sharing</w:t>
      </w:r>
      <w:r w:rsidR="004D28E4">
        <w:t xml:space="preserve">, with 3% and 0.3% of employees reporting </w:t>
      </w:r>
      <w:r w:rsidR="003650E2">
        <w:t xml:space="preserve">using these </w:t>
      </w:r>
      <w:r w:rsidR="00B67FC8">
        <w:t>respectively</w:t>
      </w:r>
      <w:r w:rsidR="00E8283B">
        <w:t>.</w:t>
      </w:r>
    </w:p>
    <w:p w14:paraId="6AE0BFF3" w14:textId="00BC1447" w:rsidR="00416EC5" w:rsidRDefault="0060712C" w:rsidP="00D149FE">
      <w:pPr>
        <w:pStyle w:val="Heading5"/>
      </w:pPr>
      <w:bookmarkStart w:id="1181" w:name="_Ref151110519"/>
      <w:bookmarkStart w:id="1182" w:name="_Ref164168813"/>
      <w:bookmarkStart w:id="1183" w:name="_Ref166075256"/>
      <w:bookmarkStart w:id="1184" w:name="_Toc168405564"/>
      <w:bookmarkStart w:id="1185" w:name="_Toc168408713"/>
      <w:bookmarkStart w:id="1186" w:name="_Toc168411003"/>
      <w:bookmarkStart w:id="1187" w:name="_Toc168405863"/>
      <w:bookmarkStart w:id="1188" w:name="_Toc168473671"/>
      <w:bookmarkStart w:id="1189" w:name="_Toc168471569"/>
      <w:bookmarkStart w:id="1190" w:name="_Toc168484629"/>
      <w:bookmarkStart w:id="1191" w:name="_Toc168495098"/>
      <w:bookmarkStart w:id="1192" w:name="_Toc168495547"/>
      <w:bookmarkStart w:id="1193" w:name="_Toc168586016"/>
      <w:bookmarkStart w:id="1194" w:name="_Toc168586451"/>
      <w:bookmarkStart w:id="1195" w:name="_Toc169278409"/>
      <w:bookmarkStart w:id="1196" w:name="_Toc169536524"/>
      <w:bookmarkStart w:id="1197" w:name="_Toc169708605"/>
      <w:bookmarkStart w:id="1198" w:name="_Toc170138033"/>
      <w:bookmarkStart w:id="1199" w:name="_Toc170140106"/>
      <w:bookmarkStart w:id="1200" w:name="_Toc173857137"/>
      <w:r>
        <w:t xml:space="preserve">Figure </w:t>
      </w:r>
      <w:r>
        <w:fldChar w:fldCharType="begin"/>
      </w:r>
      <w:r>
        <w:instrText>SEQ Figure \* ARABIC</w:instrText>
      </w:r>
      <w:r>
        <w:fldChar w:fldCharType="separate"/>
      </w:r>
      <w:r w:rsidR="002B65E2">
        <w:rPr>
          <w:noProof/>
        </w:rPr>
        <w:t>15</w:t>
      </w:r>
      <w:r>
        <w:fldChar w:fldCharType="end"/>
      </w:r>
      <w:bookmarkEnd w:id="1181"/>
      <w:bookmarkEnd w:id="1182"/>
      <w:r>
        <w:t xml:space="preserve"> Types of flexible working utilised 20</w:t>
      </w:r>
      <w:r w:rsidR="00395C8A">
        <w:t>21</w:t>
      </w:r>
      <w:r>
        <w:t>-2023</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1D4E4B81" w14:textId="3F968B88" w:rsidR="00F207A0" w:rsidRPr="00CF58A5" w:rsidRDefault="00F207A0" w:rsidP="00B61704">
      <w:r>
        <w:rPr>
          <w:noProof/>
          <w:lang w:eastAsia="en-AU"/>
        </w:rPr>
        <w:drawing>
          <wp:inline distT="0" distB="0" distL="0" distR="0" wp14:anchorId="0D73BEBF" wp14:editId="5FF9307A">
            <wp:extent cx="5759450" cy="3509645"/>
            <wp:effectExtent l="0" t="0" r="0" b="0"/>
            <wp:docPr id="12" name="Chart 12" descr="Figure 15 Types of flexible working utilised 2021-2023" title="Figure 15 Types of flexible working utilised 2021-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2191C82" w14:textId="7AD1ABDE" w:rsidR="006F480D" w:rsidRPr="00080A32" w:rsidRDefault="2B4AECE7" w:rsidP="00B61704">
      <w:pPr>
        <w:rPr>
          <w:sz w:val="16"/>
          <w:szCs w:val="16"/>
        </w:rPr>
      </w:pPr>
      <w:r w:rsidRPr="109F85BC">
        <w:rPr>
          <w:sz w:val="16"/>
          <w:szCs w:val="16"/>
        </w:rPr>
        <w:t xml:space="preserve">Source: </w:t>
      </w:r>
      <w:r w:rsidR="27E2113D" w:rsidRPr="109F85BC">
        <w:rPr>
          <w:sz w:val="16"/>
          <w:szCs w:val="16"/>
        </w:rPr>
        <w:t>APS Employee Census 2021 and APS Employee Census 2023</w:t>
      </w:r>
      <w:r w:rsidR="3CBC07FE" w:rsidRPr="109F85BC">
        <w:rPr>
          <w:sz w:val="16"/>
          <w:szCs w:val="16"/>
        </w:rPr>
        <w:t>.</w:t>
      </w:r>
    </w:p>
    <w:p w14:paraId="000D273C" w14:textId="5F61EFDD" w:rsidR="004661A7" w:rsidRDefault="00B44A7D" w:rsidP="00B61704">
      <w:r>
        <w:t xml:space="preserve">Despite the increases reported above, some </w:t>
      </w:r>
      <w:r w:rsidR="00B4060B">
        <w:t xml:space="preserve">employees </w:t>
      </w:r>
      <w:r w:rsidR="00B53A60">
        <w:t>experienced</w:t>
      </w:r>
      <w:r w:rsidR="00B4060B">
        <w:t xml:space="preserve"> difficulties in accessing flexible work arrangements</w:t>
      </w:r>
      <w:r w:rsidR="002F767E">
        <w:t>.</w:t>
      </w:r>
      <w:r w:rsidR="00B4060B">
        <w:t xml:space="preserve"> </w:t>
      </w:r>
      <w:r w:rsidR="001F4F0D">
        <w:t>The</w:t>
      </w:r>
      <w:r w:rsidR="00681623">
        <w:t xml:space="preserve"> 2023</w:t>
      </w:r>
      <w:r w:rsidR="001F4F0D">
        <w:t xml:space="preserve"> APS Employee Census showed </w:t>
      </w:r>
      <w:r w:rsidR="000859D4">
        <w:t>that</w:t>
      </w:r>
      <w:r w:rsidR="001F4F0D">
        <w:t xml:space="preserve"> 11%</w:t>
      </w:r>
      <w:r w:rsidR="002F767E">
        <w:t xml:space="preserve"> of </w:t>
      </w:r>
      <w:r w:rsidR="00054DF0">
        <w:t>responding</w:t>
      </w:r>
      <w:r w:rsidR="002F767E">
        <w:t xml:space="preserve"> employees</w:t>
      </w:r>
      <w:r w:rsidR="00426818">
        <w:t xml:space="preserve"> were</w:t>
      </w:r>
      <w:r w:rsidR="00B4060B">
        <w:t xml:space="preserve"> not confident that if they requested a flexible work arrangement</w:t>
      </w:r>
      <w:r w:rsidR="002F767E">
        <w:t xml:space="preserve"> it</w:t>
      </w:r>
      <w:r w:rsidR="00B4060B">
        <w:t xml:space="preserve"> would be given reasonable consideration and 13%</w:t>
      </w:r>
      <w:r w:rsidR="002D12B4">
        <w:t xml:space="preserve"> were</w:t>
      </w:r>
      <w:r w:rsidR="00B4060B">
        <w:t xml:space="preserve"> not satisfied with their non-monetary employment conditions (e</w:t>
      </w:r>
      <w:r w:rsidR="00704148">
        <w:t>.</w:t>
      </w:r>
      <w:r w:rsidR="00B4060B">
        <w:t>g. leave</w:t>
      </w:r>
      <w:r w:rsidR="001331BD">
        <w:t>,</w:t>
      </w:r>
      <w:r w:rsidR="00B4060B">
        <w:t xml:space="preserve"> flexible work arrangements, </w:t>
      </w:r>
      <w:r w:rsidR="00BC7981">
        <w:t xml:space="preserve">or </w:t>
      </w:r>
      <w:r w:rsidR="00B4060B">
        <w:t>other benefits)</w:t>
      </w:r>
      <w:r w:rsidR="001331BD">
        <w:t>.</w:t>
      </w:r>
    </w:p>
    <w:p w14:paraId="2537F286" w14:textId="4293A679" w:rsidR="00C83A8B" w:rsidRDefault="00D668D4" w:rsidP="00B61704">
      <w:r>
        <w:t>Furthermore, 12</w:t>
      </w:r>
      <w:r w:rsidR="001331BD">
        <w:t xml:space="preserve">% </w:t>
      </w:r>
      <w:r w:rsidR="000B2879">
        <w:t>of employees</w:t>
      </w:r>
      <w:r w:rsidR="001331BD">
        <w:t xml:space="preserve"> indicated the most important positive initiative they would like to see in their working environment </w:t>
      </w:r>
      <w:r w:rsidR="00B44A7D">
        <w:t>was</w:t>
      </w:r>
      <w:r w:rsidR="001331BD">
        <w:t xml:space="preserve"> increased flexibility in work practices</w:t>
      </w:r>
      <w:r w:rsidR="000859D4">
        <w:t>. T</w:t>
      </w:r>
      <w:r w:rsidR="00F106CE">
        <w:t>his was</w:t>
      </w:r>
      <w:r w:rsidR="00163FF6">
        <w:t xml:space="preserve"> higher than </w:t>
      </w:r>
      <w:r w:rsidR="004B6DC2">
        <w:t>the</w:t>
      </w:r>
      <w:r w:rsidR="002D12B4">
        <w:t xml:space="preserve"> 10% </w:t>
      </w:r>
      <w:r w:rsidR="000B2879">
        <w:t>recorded in 2021</w:t>
      </w:r>
      <w:r w:rsidR="002D12B4">
        <w:t xml:space="preserve"> at the start of the S</w:t>
      </w:r>
      <w:r w:rsidR="001331BD">
        <w:t>trategy.</w:t>
      </w:r>
      <w:r w:rsidR="001F4F0D">
        <w:t xml:space="preserve"> The 2021 APS </w:t>
      </w:r>
      <w:r w:rsidR="000859D4">
        <w:t>Agency S</w:t>
      </w:r>
      <w:r w:rsidR="001F4F0D">
        <w:t>urvey showed that</w:t>
      </w:r>
      <w:r w:rsidR="00C83A8B">
        <w:t xml:space="preserve"> </w:t>
      </w:r>
      <w:r w:rsidR="001F4F0D">
        <w:t>s</w:t>
      </w:r>
      <w:r w:rsidR="00F106CE">
        <w:t>ome</w:t>
      </w:r>
      <w:r w:rsidR="003E18B9">
        <w:t xml:space="preserve"> </w:t>
      </w:r>
      <w:r w:rsidR="00F106CE">
        <w:t xml:space="preserve">of the most common </w:t>
      </w:r>
      <w:r w:rsidR="00C83A8B">
        <w:t>barriers</w:t>
      </w:r>
      <w:r w:rsidR="00F106CE">
        <w:t xml:space="preserve"> employees may face in</w:t>
      </w:r>
      <w:r w:rsidR="00C83A8B">
        <w:t xml:space="preserve"> accessing flexible work</w:t>
      </w:r>
      <w:r w:rsidR="0019628C">
        <w:t xml:space="preserve"> </w:t>
      </w:r>
      <w:r w:rsidR="00C00E5A">
        <w:t>were</w:t>
      </w:r>
      <w:r w:rsidR="00C83A8B">
        <w:t xml:space="preserve"> that critical functions required </w:t>
      </w:r>
      <w:r w:rsidR="000859D4">
        <w:t xml:space="preserve">being </w:t>
      </w:r>
      <w:r w:rsidR="00C83A8B">
        <w:t>on-site (53%)</w:t>
      </w:r>
      <w:r w:rsidR="00F106CE">
        <w:t xml:space="preserve">, </w:t>
      </w:r>
      <w:r w:rsidR="0019628C">
        <w:t>access to classified materials (24%)</w:t>
      </w:r>
      <w:r w:rsidR="00B44A7D">
        <w:t>,</w:t>
      </w:r>
      <w:r w:rsidR="0019628C">
        <w:t xml:space="preserve"> and availability of IT assets (21%)</w:t>
      </w:r>
      <w:r w:rsidR="00C83A8B">
        <w:t>.</w:t>
      </w:r>
    </w:p>
    <w:p w14:paraId="122A1B7F" w14:textId="6C1DD1D4" w:rsidR="005B6879" w:rsidRDefault="00CF4DB9" w:rsidP="00756F3C">
      <w:pPr>
        <w:pStyle w:val="Heading3"/>
      </w:pPr>
      <w:bookmarkStart w:id="1201" w:name="_Toc170119698"/>
      <w:bookmarkStart w:id="1202" w:name="_Toc170138081"/>
      <w:bookmarkStart w:id="1203" w:name="_Toc170140154"/>
      <w:r>
        <w:t>SES use of flexible work arrangements</w:t>
      </w:r>
      <w:bookmarkEnd w:id="1201"/>
      <w:bookmarkEnd w:id="1202"/>
      <w:bookmarkEnd w:id="1203"/>
    </w:p>
    <w:p w14:paraId="7909EA17" w14:textId="5E707F94" w:rsidR="00B1639F" w:rsidRDefault="005A0E6C" w:rsidP="00756F3C">
      <w:r>
        <w:t xml:space="preserve">60% </w:t>
      </w:r>
      <w:r w:rsidR="006174C4">
        <w:t xml:space="preserve">of </w:t>
      </w:r>
      <w:r w:rsidR="00CF4DB9">
        <w:t>SES officers</w:t>
      </w:r>
      <w:r w:rsidR="006174C4">
        <w:t xml:space="preserve"> accessed</w:t>
      </w:r>
      <w:r w:rsidR="00775B05">
        <w:t xml:space="preserve"> </w:t>
      </w:r>
      <w:r w:rsidR="00DA6283">
        <w:t>flexible work</w:t>
      </w:r>
      <w:r w:rsidR="00775B05">
        <w:t>ing arrangements</w:t>
      </w:r>
      <w:r w:rsidR="00DA6283">
        <w:t xml:space="preserve"> but</w:t>
      </w:r>
      <w:r w:rsidR="006174C4">
        <w:t xml:space="preserve"> this was </w:t>
      </w:r>
      <w:r w:rsidR="00907644">
        <w:t>15</w:t>
      </w:r>
      <w:r>
        <w:t xml:space="preserve"> percentage points</w:t>
      </w:r>
      <w:r w:rsidR="003E18B9">
        <w:t xml:space="preserve"> lower</w:t>
      </w:r>
      <w:r w:rsidR="006174C4">
        <w:t xml:space="preserve"> than the APS overall</w:t>
      </w:r>
      <w:r w:rsidR="006A7745">
        <w:t>.</w:t>
      </w:r>
      <w:r w:rsidR="00BB7DA6">
        <w:rPr>
          <w:rStyle w:val="FootnoteReference"/>
        </w:rPr>
        <w:footnoteReference w:id="17"/>
      </w:r>
      <w:r w:rsidR="00BB7DA6">
        <w:t xml:space="preserve"> </w:t>
      </w:r>
      <w:r w:rsidR="00BB7DA6">
        <w:fldChar w:fldCharType="begin"/>
      </w:r>
      <w:r w:rsidR="00BB7DA6">
        <w:instrText xml:space="preserve"> REF _Ref164168888 \h </w:instrText>
      </w:r>
      <w:r w:rsidR="00BB7DA6">
        <w:fldChar w:fldCharType="separate"/>
      </w:r>
      <w:r w:rsidR="002B65E2">
        <w:t xml:space="preserve">Figure </w:t>
      </w:r>
      <w:r w:rsidR="002B65E2">
        <w:rPr>
          <w:noProof/>
        </w:rPr>
        <w:t>16</w:t>
      </w:r>
      <w:r w:rsidR="00BB7DA6">
        <w:fldChar w:fldCharType="end"/>
      </w:r>
      <w:r w:rsidR="00BB7DA6">
        <w:t xml:space="preserve"> shows that </w:t>
      </w:r>
      <w:r w:rsidR="005E36DB">
        <w:t>53%</w:t>
      </w:r>
      <w:r w:rsidR="00CF4DB9">
        <w:t xml:space="preserve"> of SES</w:t>
      </w:r>
      <w:r w:rsidR="005E36DB">
        <w:t xml:space="preserve"> </w:t>
      </w:r>
      <w:r w:rsidR="006174C4">
        <w:t>utilised working</w:t>
      </w:r>
      <w:r w:rsidR="000B2879">
        <w:t xml:space="preserve"> from home</w:t>
      </w:r>
      <w:r w:rsidR="00DA6283">
        <w:t xml:space="preserve"> arrangements</w:t>
      </w:r>
      <w:r w:rsidR="006174C4">
        <w:t>,</w:t>
      </w:r>
      <w:r w:rsidR="003E18B9">
        <w:t xml:space="preserve"> </w:t>
      </w:r>
      <w:r w:rsidR="003E18B9">
        <w:lastRenderedPageBreak/>
        <w:t>though they were</w:t>
      </w:r>
      <w:r w:rsidR="007F7BD8">
        <w:t xml:space="preserve"> far</w:t>
      </w:r>
      <w:r w:rsidR="006174C4">
        <w:t xml:space="preserve"> less likely to work </w:t>
      </w:r>
      <w:r w:rsidR="003E5881">
        <w:t>part-time</w:t>
      </w:r>
      <w:r w:rsidR="006174C4">
        <w:t xml:space="preserve"> or have flexible hours of work</w:t>
      </w:r>
      <w:r w:rsidR="003E18B9">
        <w:t xml:space="preserve"> than other classifications</w:t>
      </w:r>
      <w:r w:rsidR="006174C4">
        <w:t>.</w:t>
      </w:r>
      <w:r w:rsidR="007F7BD8">
        <w:t xml:space="preserve"> The proportio</w:t>
      </w:r>
      <w:r w:rsidR="004E2D41">
        <w:t>n of part-time employees reduced as seniority increased</w:t>
      </w:r>
      <w:r w:rsidR="007F7BD8">
        <w:t>.</w:t>
      </w:r>
    </w:p>
    <w:p w14:paraId="12FF58F3" w14:textId="5C283D42" w:rsidR="00416EC5" w:rsidRDefault="00222392" w:rsidP="0007088D">
      <w:pPr>
        <w:pStyle w:val="Heading5"/>
      </w:pPr>
      <w:bookmarkStart w:id="1204" w:name="_Ref151110670"/>
      <w:bookmarkStart w:id="1205" w:name="_Ref164168888"/>
      <w:bookmarkStart w:id="1206" w:name="_Toc168405565"/>
      <w:bookmarkStart w:id="1207" w:name="_Toc168408714"/>
      <w:bookmarkStart w:id="1208" w:name="_Toc168411004"/>
      <w:bookmarkStart w:id="1209" w:name="_Toc168405864"/>
      <w:bookmarkStart w:id="1210" w:name="_Toc168473672"/>
      <w:bookmarkStart w:id="1211" w:name="_Toc168471570"/>
      <w:bookmarkStart w:id="1212" w:name="_Toc168484630"/>
      <w:bookmarkStart w:id="1213" w:name="_Toc168495099"/>
      <w:bookmarkStart w:id="1214" w:name="_Toc168495548"/>
      <w:bookmarkStart w:id="1215" w:name="_Toc168586017"/>
      <w:bookmarkStart w:id="1216" w:name="_Toc168586452"/>
      <w:bookmarkStart w:id="1217" w:name="_Toc169278410"/>
      <w:bookmarkStart w:id="1218" w:name="_Toc169536525"/>
      <w:bookmarkStart w:id="1219" w:name="_Toc169708606"/>
      <w:bookmarkStart w:id="1220" w:name="_Toc170138034"/>
      <w:bookmarkStart w:id="1221" w:name="_Toc170140107"/>
      <w:bookmarkStart w:id="1222" w:name="_Toc173857138"/>
      <w:r>
        <w:t xml:space="preserve">Figure </w:t>
      </w:r>
      <w:r>
        <w:fldChar w:fldCharType="begin"/>
      </w:r>
      <w:r>
        <w:instrText>SEQ Figure \* ARABIC</w:instrText>
      </w:r>
      <w:r>
        <w:fldChar w:fldCharType="separate"/>
      </w:r>
      <w:r w:rsidR="002B65E2">
        <w:rPr>
          <w:noProof/>
        </w:rPr>
        <w:t>16</w:t>
      </w:r>
      <w:r>
        <w:fldChar w:fldCharType="end"/>
      </w:r>
      <w:bookmarkEnd w:id="1204"/>
      <w:bookmarkEnd w:id="1205"/>
      <w:r>
        <w:t xml:space="preserve"> Use of flexible working arrangements by classification level</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6ED284C6" w14:textId="76FCF2DD" w:rsidR="004D7921" w:rsidRDefault="004D7921" w:rsidP="00756F3C">
      <w:r>
        <w:rPr>
          <w:noProof/>
          <w:lang w:eastAsia="en-AU"/>
        </w:rPr>
        <w:drawing>
          <wp:inline distT="0" distB="0" distL="0" distR="0" wp14:anchorId="60FE09FC" wp14:editId="3A3CD8BB">
            <wp:extent cx="5760000" cy="3888000"/>
            <wp:effectExtent l="0" t="0" r="0" b="0"/>
            <wp:docPr id="14" name="Chart 14" descr="Figure 16 Use of flexible working arrangements by classification level" title="Figure 16 Use of flexible working arrangements by classification le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401F48B" w14:textId="01DE1882" w:rsidR="00080A32" w:rsidRPr="00080A32" w:rsidRDefault="00080A32" w:rsidP="00756F3C">
      <w:pPr>
        <w:rPr>
          <w:sz w:val="16"/>
          <w:szCs w:val="16"/>
        </w:rPr>
      </w:pPr>
      <w:r>
        <w:rPr>
          <w:sz w:val="16"/>
          <w:szCs w:val="16"/>
        </w:rPr>
        <w:t>Source: 2023 APS Employee Census</w:t>
      </w:r>
      <w:r w:rsidR="00876F89">
        <w:rPr>
          <w:sz w:val="16"/>
          <w:szCs w:val="16"/>
        </w:rPr>
        <w:t>.</w:t>
      </w:r>
    </w:p>
    <w:p w14:paraId="7C788B70" w14:textId="1AFA9D52" w:rsidR="0054462C" w:rsidRDefault="0009094F" w:rsidP="0054462C">
      <w:pPr>
        <w:pStyle w:val="Heading3"/>
      </w:pPr>
      <w:bookmarkStart w:id="1223" w:name="_Toc165991677"/>
      <w:bookmarkStart w:id="1224" w:name="_Toc166082975"/>
      <w:bookmarkStart w:id="1225" w:name="_Toc166160339"/>
      <w:bookmarkStart w:id="1226" w:name="_Toc166168038"/>
      <w:bookmarkStart w:id="1227" w:name="_Toc168329202"/>
      <w:bookmarkStart w:id="1228" w:name="_Toc168322858"/>
      <w:bookmarkStart w:id="1229" w:name="_Toc168387975"/>
      <w:bookmarkStart w:id="1230" w:name="_Toc168405630"/>
      <w:bookmarkStart w:id="1231" w:name="_Toc168408668"/>
      <w:bookmarkStart w:id="1232" w:name="_Toc168411069"/>
      <w:bookmarkStart w:id="1233" w:name="_Toc168405928"/>
      <w:bookmarkStart w:id="1234" w:name="_Toc168473736"/>
      <w:bookmarkStart w:id="1235" w:name="_Toc168471634"/>
      <w:bookmarkStart w:id="1236" w:name="_Toc168484694"/>
      <w:bookmarkStart w:id="1237" w:name="_Toc168495162"/>
      <w:bookmarkStart w:id="1238" w:name="_Toc168495611"/>
      <w:bookmarkStart w:id="1239" w:name="_Toc169103279"/>
      <w:bookmarkStart w:id="1240" w:name="_Toc169104753"/>
      <w:bookmarkStart w:id="1241" w:name="_Toc169278469"/>
      <w:bookmarkStart w:id="1242" w:name="_Toc169536908"/>
      <w:bookmarkStart w:id="1243" w:name="_Toc169708655"/>
      <w:bookmarkStart w:id="1244" w:name="_Toc170119699"/>
      <w:bookmarkStart w:id="1245" w:name="_Toc170138082"/>
      <w:bookmarkStart w:id="1246" w:name="_Toc170140155"/>
      <w:r>
        <w:t>Carer</w:t>
      </w:r>
      <w:r w:rsidR="00CF4DB9">
        <w:t>s</w:t>
      </w:r>
      <w:r>
        <w:t xml:space="preserve"> </w:t>
      </w:r>
      <w:r w:rsidR="00CF4DB9">
        <w:t>use</w:t>
      </w:r>
      <w:r>
        <w:t xml:space="preserve"> of</w:t>
      </w:r>
      <w:r w:rsidR="0054462C">
        <w:t xml:space="preserve"> flexible working arrangements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03937D85" w14:textId="18EFE2BD" w:rsidR="008777A5" w:rsidRDefault="00EB4F5F" w:rsidP="0054462C">
      <w:r>
        <w:t>One of the Strateg</w:t>
      </w:r>
      <w:r w:rsidR="00704148">
        <w:t>y’s</w:t>
      </w:r>
      <w:r>
        <w:t xml:space="preserve"> areas of</w:t>
      </w:r>
      <w:r w:rsidR="003E18B9">
        <w:t xml:space="preserve"> focus</w:t>
      </w:r>
      <w:r>
        <w:t xml:space="preserve"> is</w:t>
      </w:r>
      <w:r w:rsidR="00077D2E">
        <w:t xml:space="preserve"> ensuring all carers (</w:t>
      </w:r>
      <w:r w:rsidR="002236D3">
        <w:t xml:space="preserve">carers of </w:t>
      </w:r>
      <w:r w:rsidR="00F4161C">
        <w:t>child</w:t>
      </w:r>
      <w:r w:rsidR="002236D3">
        <w:t>ren</w:t>
      </w:r>
      <w:r w:rsidR="003E18B9">
        <w:t>, elder</w:t>
      </w:r>
      <w:r w:rsidR="00077D2E">
        <w:t>ly</w:t>
      </w:r>
      <w:r w:rsidR="003E18B9">
        <w:t xml:space="preserve"> and </w:t>
      </w:r>
      <w:r w:rsidR="002236D3">
        <w:t xml:space="preserve">people with </w:t>
      </w:r>
      <w:r w:rsidR="003E18B9">
        <w:t>disability) are supported</w:t>
      </w:r>
      <w:r w:rsidR="00C72F88">
        <w:t xml:space="preserve"> through flexible ways of working.</w:t>
      </w:r>
      <w:r w:rsidR="0090642C">
        <w:t xml:space="preserve"> </w:t>
      </w:r>
      <w:r w:rsidR="002D10DE">
        <w:t xml:space="preserve">Results showed </w:t>
      </w:r>
      <w:r w:rsidR="00821E03">
        <w:t>that 80% of</w:t>
      </w:r>
      <w:r w:rsidR="00C72F88">
        <w:t xml:space="preserve"> carers</w:t>
      </w:r>
      <w:r w:rsidR="00927720">
        <w:t xml:space="preserve"> </w:t>
      </w:r>
      <w:r w:rsidR="004E1A13">
        <w:t>were utilising flexible work practices</w:t>
      </w:r>
      <w:r w:rsidR="007E66C8">
        <w:t xml:space="preserve"> in 2023</w:t>
      </w:r>
      <w:r w:rsidR="0060029D">
        <w:t xml:space="preserve"> and this had improved since 2021</w:t>
      </w:r>
      <w:r w:rsidR="008B05B9">
        <w:t xml:space="preserve">, rising </w:t>
      </w:r>
      <w:r w:rsidR="00AC130F">
        <w:t>6 percentage points</w:t>
      </w:r>
      <w:r w:rsidR="0060029D">
        <w:t xml:space="preserve">. </w:t>
      </w:r>
      <w:r w:rsidR="00927720">
        <w:t>In particular,</w:t>
      </w:r>
      <w:r w:rsidR="00C72F88">
        <w:t xml:space="preserve"> those with small children </w:t>
      </w:r>
      <w:r w:rsidR="00AC130F">
        <w:t xml:space="preserve">used a range </w:t>
      </w:r>
      <w:r w:rsidR="0060029D">
        <w:t>flexible work practices and</w:t>
      </w:r>
      <w:r w:rsidR="00E237A2">
        <w:t xml:space="preserve"> </w:t>
      </w:r>
      <w:r w:rsidR="0060029D">
        <w:t>were</w:t>
      </w:r>
      <w:r w:rsidR="0038138C">
        <w:t xml:space="preserve"> much more likely to</w:t>
      </w:r>
      <w:r w:rsidR="00C72F88">
        <w:t xml:space="preserve"> </w:t>
      </w:r>
      <w:r w:rsidR="0038138C">
        <w:t>work</w:t>
      </w:r>
      <w:r w:rsidR="00C72F88">
        <w:t xml:space="preserve"> </w:t>
      </w:r>
      <w:r w:rsidR="003E5881">
        <w:t>part-time</w:t>
      </w:r>
      <w:r w:rsidR="00642971">
        <w:t xml:space="preserve"> (34%</w:t>
      </w:r>
      <w:r w:rsidR="00E237A2">
        <w:t xml:space="preserve">) </w:t>
      </w:r>
      <w:r w:rsidR="0038138C">
        <w:t>than non-carers</w:t>
      </w:r>
      <w:r w:rsidR="00E237A2">
        <w:t xml:space="preserve"> (</w:t>
      </w:r>
      <w:r w:rsidR="0038138C">
        <w:t>8</w:t>
      </w:r>
      <w:r w:rsidR="00E237A2">
        <w:t>%)</w:t>
      </w:r>
      <w:r w:rsidR="00AC130F">
        <w:t xml:space="preserve"> (</w:t>
      </w:r>
      <w:r w:rsidR="00AC130F">
        <w:fldChar w:fldCharType="begin"/>
      </w:r>
      <w:r w:rsidR="00AC130F">
        <w:instrText xml:space="preserve"> REF _Ref164168923 \h </w:instrText>
      </w:r>
      <w:r w:rsidR="00AC130F">
        <w:fldChar w:fldCharType="separate"/>
      </w:r>
      <w:r w:rsidR="002B65E2">
        <w:t xml:space="preserve">Figure </w:t>
      </w:r>
      <w:r w:rsidR="002B65E2">
        <w:rPr>
          <w:noProof/>
        </w:rPr>
        <w:t>17</w:t>
      </w:r>
      <w:r w:rsidR="00AC130F">
        <w:fldChar w:fldCharType="end"/>
      </w:r>
      <w:r w:rsidR="00AC130F">
        <w:t>)</w:t>
      </w:r>
      <w:r w:rsidR="00C72F88">
        <w:t>.</w:t>
      </w:r>
      <w:r w:rsidR="008777A5">
        <w:t xml:space="preserve"> </w:t>
      </w:r>
      <w:r w:rsidR="00986CBF">
        <w:t>However, c</w:t>
      </w:r>
      <w:r w:rsidR="008777A5">
        <w:t>onsistent with all employees, 11% of carers were not confident that if they requested a flexible work arrangement it would be given reasonable consideration.</w:t>
      </w:r>
    </w:p>
    <w:p w14:paraId="1DB24EB3" w14:textId="2896597F" w:rsidR="0054462C" w:rsidRDefault="003E18B9" w:rsidP="00AF47FD">
      <w:pPr>
        <w:pStyle w:val="Heading5"/>
      </w:pPr>
      <w:bookmarkStart w:id="1247" w:name="_Ref164168923"/>
      <w:bookmarkStart w:id="1248" w:name="_Toc168405566"/>
      <w:bookmarkStart w:id="1249" w:name="_Toc168408715"/>
      <w:bookmarkStart w:id="1250" w:name="_Toc168411005"/>
      <w:bookmarkStart w:id="1251" w:name="_Toc168405865"/>
      <w:bookmarkStart w:id="1252" w:name="_Toc168473673"/>
      <w:bookmarkStart w:id="1253" w:name="_Toc168471571"/>
      <w:bookmarkStart w:id="1254" w:name="_Toc168484631"/>
      <w:bookmarkStart w:id="1255" w:name="_Toc168495100"/>
      <w:bookmarkStart w:id="1256" w:name="_Toc168495549"/>
      <w:bookmarkStart w:id="1257" w:name="_Toc168586018"/>
      <w:bookmarkStart w:id="1258" w:name="_Toc168586453"/>
      <w:bookmarkStart w:id="1259" w:name="_Toc169278411"/>
      <w:bookmarkStart w:id="1260" w:name="_Toc169536526"/>
      <w:bookmarkStart w:id="1261" w:name="_Toc169708607"/>
      <w:bookmarkStart w:id="1262" w:name="_Toc170138035"/>
      <w:bookmarkStart w:id="1263" w:name="_Toc170140108"/>
      <w:bookmarkStart w:id="1264" w:name="_Toc173857139"/>
      <w:r>
        <w:lastRenderedPageBreak/>
        <w:t xml:space="preserve">Figure </w:t>
      </w:r>
      <w:r>
        <w:fldChar w:fldCharType="begin"/>
      </w:r>
      <w:r>
        <w:instrText>SEQ Figure \* ARABIC</w:instrText>
      </w:r>
      <w:r>
        <w:fldChar w:fldCharType="separate"/>
      </w:r>
      <w:r w:rsidR="002B65E2">
        <w:rPr>
          <w:noProof/>
        </w:rPr>
        <w:t>17</w:t>
      </w:r>
      <w:r>
        <w:fldChar w:fldCharType="end"/>
      </w:r>
      <w:bookmarkEnd w:id="1247"/>
      <w:r>
        <w:t xml:space="preserve"> Use of flexible working arrangements by types of carers</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767B97AD" w14:textId="32F8D5C1" w:rsidR="00AF47FD" w:rsidRDefault="00722B4A" w:rsidP="0054462C">
      <w:r>
        <w:rPr>
          <w:noProof/>
          <w:lang w:eastAsia="en-AU"/>
        </w:rPr>
        <w:drawing>
          <wp:inline distT="0" distB="0" distL="0" distR="0" wp14:anchorId="0F2D08E9" wp14:editId="1C030F87">
            <wp:extent cx="5759450" cy="3420110"/>
            <wp:effectExtent l="0" t="0" r="0" b="8890"/>
            <wp:docPr id="17" name="Chart 17" descr="Figure 17 Use of flexible working arrangements by types of carers" title="Figure 17 Use of flexible working arrangements by types of car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56766B2" w14:textId="7ED166F5" w:rsidR="00080A32" w:rsidRPr="00080A32" w:rsidRDefault="00080A32" w:rsidP="0054462C">
      <w:pPr>
        <w:rPr>
          <w:sz w:val="16"/>
          <w:szCs w:val="16"/>
        </w:rPr>
      </w:pPr>
      <w:r w:rsidRPr="00080A32">
        <w:rPr>
          <w:sz w:val="16"/>
          <w:szCs w:val="16"/>
        </w:rPr>
        <w:t>Source: 2023 APS Employee Census</w:t>
      </w:r>
      <w:r w:rsidR="00876F89">
        <w:rPr>
          <w:sz w:val="16"/>
          <w:szCs w:val="16"/>
        </w:rPr>
        <w:t>.</w:t>
      </w:r>
    </w:p>
    <w:p w14:paraId="7323E29D" w14:textId="75EB7D65" w:rsidR="00E8283B" w:rsidRDefault="00E8283B" w:rsidP="00E8283B">
      <w:pPr>
        <w:pStyle w:val="Heading3"/>
      </w:pPr>
      <w:bookmarkStart w:id="1265" w:name="_Toc165991678"/>
      <w:bookmarkStart w:id="1266" w:name="_Toc166082976"/>
      <w:bookmarkStart w:id="1267" w:name="_Toc166160340"/>
      <w:bookmarkStart w:id="1268" w:name="_Toc166168039"/>
      <w:bookmarkStart w:id="1269" w:name="_Toc168329203"/>
      <w:bookmarkStart w:id="1270" w:name="_Toc168322859"/>
      <w:bookmarkStart w:id="1271" w:name="_Toc168387976"/>
      <w:bookmarkStart w:id="1272" w:name="_Toc168405631"/>
      <w:bookmarkStart w:id="1273" w:name="_Toc168408669"/>
      <w:bookmarkStart w:id="1274" w:name="_Toc168411070"/>
      <w:bookmarkStart w:id="1275" w:name="_Toc168405929"/>
      <w:bookmarkStart w:id="1276" w:name="_Toc168473737"/>
      <w:bookmarkStart w:id="1277" w:name="_Toc168471635"/>
      <w:bookmarkStart w:id="1278" w:name="_Toc168484695"/>
      <w:bookmarkStart w:id="1279" w:name="_Toc168495163"/>
      <w:bookmarkStart w:id="1280" w:name="_Toc168495612"/>
      <w:bookmarkStart w:id="1281" w:name="_Toc169103280"/>
      <w:bookmarkStart w:id="1282" w:name="_Toc169104754"/>
      <w:bookmarkStart w:id="1283" w:name="_Toc169278470"/>
      <w:bookmarkStart w:id="1284" w:name="_Toc169536909"/>
      <w:bookmarkStart w:id="1285" w:name="_Toc169708656"/>
      <w:bookmarkStart w:id="1286" w:name="_Toc170119700"/>
      <w:bookmarkStart w:id="1287" w:name="_Toc170138083"/>
      <w:bookmarkStart w:id="1288" w:name="_Toc170140156"/>
      <w:r>
        <w:t xml:space="preserve">Gender differences in </w:t>
      </w:r>
      <w:r w:rsidR="00CF4DB9">
        <w:t>the usage of</w:t>
      </w:r>
      <w:r>
        <w:t xml:space="preserve"> flexible work</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25DBD364" w14:textId="7C454C67" w:rsidR="00402279" w:rsidRDefault="00EF60FF" w:rsidP="00E8283B">
      <w:r>
        <w:t>The APS Employe</w:t>
      </w:r>
      <w:r w:rsidR="00840716">
        <w:t xml:space="preserve">e Census showed that </w:t>
      </w:r>
      <w:r w:rsidR="00364395">
        <w:t xml:space="preserve">all genders </w:t>
      </w:r>
      <w:r>
        <w:t>accessed flexible working arrangement</w:t>
      </w:r>
      <w:r w:rsidR="00364395">
        <w:t>s</w:t>
      </w:r>
      <w:r>
        <w:t xml:space="preserve"> at largely similar rates, except for part-time work</w:t>
      </w:r>
      <w:r w:rsidR="005037AC">
        <w:t xml:space="preserve">. </w:t>
      </w:r>
      <w:r w:rsidR="009B332C">
        <w:t>5% of</w:t>
      </w:r>
      <w:r w:rsidR="000B466A">
        <w:t xml:space="preserve"> male</w:t>
      </w:r>
      <w:r w:rsidR="009B332C">
        <w:t xml:space="preserve"> </w:t>
      </w:r>
      <w:r w:rsidR="00EC70FD">
        <w:t xml:space="preserve">employees </w:t>
      </w:r>
      <w:r w:rsidR="00E05F94">
        <w:t xml:space="preserve">utilised </w:t>
      </w:r>
      <w:r w:rsidR="003E5881">
        <w:t>part-time</w:t>
      </w:r>
      <w:r w:rsidR="00E05F94">
        <w:t xml:space="preserve"> work</w:t>
      </w:r>
      <w:r>
        <w:t>;</w:t>
      </w:r>
      <w:r w:rsidR="00E05F94">
        <w:t xml:space="preserve"> this was signific</w:t>
      </w:r>
      <w:r w:rsidR="004A1891">
        <w:t>antly less than</w:t>
      </w:r>
      <w:r w:rsidR="00115FED">
        <w:t xml:space="preserve"> 19% of</w:t>
      </w:r>
      <w:r w:rsidR="000B466A">
        <w:t xml:space="preserve"> female</w:t>
      </w:r>
      <w:r w:rsidR="00115FED">
        <w:t xml:space="preserve"> employees</w:t>
      </w:r>
      <w:r w:rsidR="00840716">
        <w:t xml:space="preserve">, </w:t>
      </w:r>
      <w:r w:rsidR="009B332C">
        <w:t xml:space="preserve">14% of </w:t>
      </w:r>
      <w:r w:rsidR="00840716">
        <w:t>employees who use a different gender term and</w:t>
      </w:r>
      <w:r w:rsidR="00115FED">
        <w:t xml:space="preserve"> 11% of non-binary employees</w:t>
      </w:r>
      <w:r w:rsidR="00770BFA">
        <w:t>.</w:t>
      </w:r>
      <w:r w:rsidR="00ED03D2">
        <w:t xml:space="preserve"> </w:t>
      </w:r>
      <w:r w:rsidR="00A6029C">
        <w:t>T</w:t>
      </w:r>
      <w:r w:rsidR="00D204C9">
        <w:t>he proportion of</w:t>
      </w:r>
      <w:r w:rsidR="00364395">
        <w:t xml:space="preserve"> male</w:t>
      </w:r>
      <w:r w:rsidR="00D204C9">
        <w:t xml:space="preserve"> </w:t>
      </w:r>
      <w:r w:rsidR="004B7E09">
        <w:t xml:space="preserve">employees </w:t>
      </w:r>
      <w:r w:rsidR="009251EC">
        <w:t>accessing part-time work has</w:t>
      </w:r>
      <w:r w:rsidR="00D204C9">
        <w:t xml:space="preserve"> </w:t>
      </w:r>
      <w:r w:rsidR="00364395">
        <w:t xml:space="preserve">remained stable </w:t>
      </w:r>
      <w:r w:rsidR="00546CDE">
        <w:t>over</w:t>
      </w:r>
      <w:r w:rsidR="007302E8">
        <w:t xml:space="preserve"> the p</w:t>
      </w:r>
      <w:r w:rsidR="00A6029C">
        <w:t>ast few years</w:t>
      </w:r>
      <w:r w:rsidR="00D204C9">
        <w:t>, while the proportion of women</w:t>
      </w:r>
      <w:r w:rsidR="00840716">
        <w:t xml:space="preserve"> and non-binary employees</w:t>
      </w:r>
      <w:r w:rsidR="00D204C9">
        <w:t xml:space="preserve"> ha</w:t>
      </w:r>
      <w:r w:rsidR="00364395">
        <w:t>s</w:t>
      </w:r>
      <w:r w:rsidR="00D204C9">
        <w:t xml:space="preserve"> </w:t>
      </w:r>
      <w:r w:rsidR="00E05F94">
        <w:t>decline</w:t>
      </w:r>
      <w:r w:rsidR="004E2D41">
        <w:t>d</w:t>
      </w:r>
      <w:r w:rsidR="00256839">
        <w:t xml:space="preserve"> (</w:t>
      </w:r>
      <w:r w:rsidR="00A8356E">
        <w:fldChar w:fldCharType="begin"/>
      </w:r>
      <w:r w:rsidR="00A8356E">
        <w:instrText xml:space="preserve"> REF _Ref151117163 \h </w:instrText>
      </w:r>
      <w:r w:rsidR="00A8356E">
        <w:fldChar w:fldCharType="separate"/>
      </w:r>
      <w:r w:rsidR="002B65E2">
        <w:t xml:space="preserve">Figure </w:t>
      </w:r>
      <w:r w:rsidR="002B65E2">
        <w:rPr>
          <w:noProof/>
        </w:rPr>
        <w:t>18</w:t>
      </w:r>
      <w:r w:rsidR="00A8356E">
        <w:fldChar w:fldCharType="end"/>
      </w:r>
      <w:r w:rsidR="00256839">
        <w:t>).</w:t>
      </w:r>
      <w:r w:rsidR="00E05F94">
        <w:t xml:space="preserve"> </w:t>
      </w:r>
    </w:p>
    <w:p w14:paraId="379BE06C" w14:textId="5B1DB051" w:rsidR="00256839" w:rsidRDefault="00A8356E" w:rsidP="006270FE">
      <w:pPr>
        <w:pStyle w:val="Heading5"/>
      </w:pPr>
      <w:bookmarkStart w:id="1289" w:name="_Ref151117163"/>
      <w:bookmarkStart w:id="1290" w:name="_Toc168405567"/>
      <w:bookmarkStart w:id="1291" w:name="_Toc168408716"/>
      <w:bookmarkStart w:id="1292" w:name="_Toc168411006"/>
      <w:bookmarkStart w:id="1293" w:name="_Toc168405866"/>
      <w:bookmarkStart w:id="1294" w:name="_Toc168473674"/>
      <w:bookmarkStart w:id="1295" w:name="_Toc168471572"/>
      <w:bookmarkStart w:id="1296" w:name="_Toc168484632"/>
      <w:bookmarkStart w:id="1297" w:name="_Toc168495101"/>
      <w:bookmarkStart w:id="1298" w:name="_Toc168495550"/>
      <w:bookmarkStart w:id="1299" w:name="_Toc168586019"/>
      <w:bookmarkStart w:id="1300" w:name="_Toc168586454"/>
      <w:bookmarkStart w:id="1301" w:name="_Toc169278412"/>
      <w:bookmarkStart w:id="1302" w:name="_Toc169536527"/>
      <w:bookmarkStart w:id="1303" w:name="_Toc169708608"/>
      <w:bookmarkStart w:id="1304" w:name="_Toc170138036"/>
      <w:bookmarkStart w:id="1305" w:name="_Toc170140109"/>
      <w:bookmarkStart w:id="1306" w:name="_Toc173857140"/>
      <w:r>
        <w:lastRenderedPageBreak/>
        <w:t xml:space="preserve">Figure </w:t>
      </w:r>
      <w:r>
        <w:fldChar w:fldCharType="begin"/>
      </w:r>
      <w:r>
        <w:instrText>SEQ Figure \* ARABIC</w:instrText>
      </w:r>
      <w:r>
        <w:fldChar w:fldCharType="separate"/>
      </w:r>
      <w:r w:rsidR="002B65E2">
        <w:rPr>
          <w:noProof/>
        </w:rPr>
        <w:t>18</w:t>
      </w:r>
      <w:r>
        <w:fldChar w:fldCharType="end"/>
      </w:r>
      <w:bookmarkEnd w:id="1289"/>
      <w:r>
        <w:t xml:space="preserve"> Per cent of employees working </w:t>
      </w:r>
      <w:r w:rsidR="003E5881">
        <w:t>part-time</w:t>
      </w:r>
      <w:r>
        <w:t xml:space="preserve"> by gender</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6AE3EB62" w14:textId="27B09774" w:rsidR="009419DE" w:rsidRPr="009419DE" w:rsidRDefault="00840716" w:rsidP="009419DE">
      <w:r>
        <w:rPr>
          <w:noProof/>
          <w:lang w:eastAsia="en-AU"/>
        </w:rPr>
        <w:drawing>
          <wp:inline distT="0" distB="0" distL="0" distR="0" wp14:anchorId="3CAF164E" wp14:editId="0B78E43E">
            <wp:extent cx="5760000" cy="3060000"/>
            <wp:effectExtent l="0" t="0" r="0" b="7620"/>
            <wp:docPr id="6" name="Chart 6" descr="Figure 18 Per cent of employees working part-time by gender" title="Figure 18 Per cent of employees working part-time by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0044D37" w14:textId="13FFDB24" w:rsidR="005F2409" w:rsidRPr="00124C3A" w:rsidRDefault="00080A32" w:rsidP="005F2409">
      <w:pPr>
        <w:rPr>
          <w:sz w:val="16"/>
          <w:szCs w:val="16"/>
        </w:rPr>
      </w:pPr>
      <w:r w:rsidRPr="00080A32">
        <w:rPr>
          <w:sz w:val="16"/>
          <w:szCs w:val="16"/>
        </w:rPr>
        <w:t>Source: APS Employee Census</w:t>
      </w:r>
      <w:r w:rsidR="009164B2">
        <w:rPr>
          <w:sz w:val="16"/>
          <w:szCs w:val="16"/>
        </w:rPr>
        <w:t xml:space="preserve"> 2021 and APS Employee Census 2023</w:t>
      </w:r>
      <w:r w:rsidR="00876F89">
        <w:rPr>
          <w:sz w:val="16"/>
          <w:szCs w:val="16"/>
        </w:rPr>
        <w:t>.</w:t>
      </w:r>
      <w:r w:rsidR="005F2409" w:rsidRPr="005F2409">
        <w:rPr>
          <w:sz w:val="16"/>
          <w:szCs w:val="16"/>
        </w:rPr>
        <w:t xml:space="preserve"> </w:t>
      </w:r>
      <w:r w:rsidR="005F2409">
        <w:rPr>
          <w:sz w:val="16"/>
          <w:szCs w:val="16"/>
        </w:rPr>
        <w:br/>
      </w:r>
      <w:r w:rsidR="005F2409" w:rsidRPr="00124C3A">
        <w:rPr>
          <w:sz w:val="16"/>
          <w:szCs w:val="16"/>
        </w:rPr>
        <w:t xml:space="preserve">Note: </w:t>
      </w:r>
      <w:r w:rsidR="005F2409">
        <w:rPr>
          <w:sz w:val="16"/>
          <w:szCs w:val="16"/>
        </w:rPr>
        <w:t>Note employees that used a different term were not included in this table due to a small number of responses.</w:t>
      </w:r>
      <w:r w:rsidR="005F2409" w:rsidRPr="00124C3A">
        <w:rPr>
          <w:sz w:val="16"/>
          <w:szCs w:val="16"/>
        </w:rPr>
        <w:t xml:space="preserve"> </w:t>
      </w:r>
    </w:p>
    <w:p w14:paraId="27346751" w14:textId="6B888ECC" w:rsidR="001142CB" w:rsidRDefault="00364395" w:rsidP="00C25034">
      <w:r>
        <w:t>Findings from t</w:t>
      </w:r>
      <w:r w:rsidR="009F3AFE">
        <w:t xml:space="preserve">he Diversity Council Australia’s </w:t>
      </w:r>
      <w:proofErr w:type="spellStart"/>
      <w:r w:rsidR="009F3AFE" w:rsidRPr="006E762A">
        <w:rPr>
          <w:i/>
        </w:rPr>
        <w:t>Inclusion@Work</w:t>
      </w:r>
      <w:proofErr w:type="spellEnd"/>
      <w:r w:rsidR="009F3AFE" w:rsidRPr="006E762A">
        <w:rPr>
          <w:i/>
        </w:rPr>
        <w:t xml:space="preserve"> Index</w:t>
      </w:r>
      <w:r w:rsidR="006E762A" w:rsidRPr="006E762A">
        <w:rPr>
          <w:i/>
        </w:rPr>
        <w:t xml:space="preserve"> 2023-24</w:t>
      </w:r>
      <w:r w:rsidR="009F3AFE">
        <w:t xml:space="preserve"> revealed a larger flexible work utilisation gap of 15% between men and women in the Australian workforce.</w:t>
      </w:r>
      <w:r w:rsidR="006A7745">
        <w:rPr>
          <w:rStyle w:val="FootnoteReference"/>
        </w:rPr>
        <w:footnoteReference w:id="18"/>
      </w:r>
      <w:r w:rsidR="009F3AFE">
        <w:t xml:space="preserve"> Their research indicated that this gap was driven by the negative treatment of men who accessed flexible work options, especially those who accessed arrangements that were traditionally associated with care work, such as reduced hours.</w:t>
      </w:r>
      <w:r w:rsidR="001142CB">
        <w:t xml:space="preserve"> </w:t>
      </w:r>
    </w:p>
    <w:p w14:paraId="75F8C513" w14:textId="68D1C6D8" w:rsidR="00312CA0" w:rsidRDefault="00265D62" w:rsidP="00C25034">
      <w:r>
        <w:t xml:space="preserve">There were greater </w:t>
      </w:r>
      <w:r w:rsidR="00BE492B">
        <w:t xml:space="preserve">gender </w:t>
      </w:r>
      <w:r>
        <w:t xml:space="preserve">differences </w:t>
      </w:r>
      <w:r w:rsidR="00BE492B">
        <w:t xml:space="preserve">in </w:t>
      </w:r>
      <w:r w:rsidR="00AE11CA">
        <w:t xml:space="preserve">the </w:t>
      </w:r>
      <w:r w:rsidR="00BE492B">
        <w:t>uptake of</w:t>
      </w:r>
      <w:r w:rsidR="00000E0A">
        <w:t xml:space="preserve"> </w:t>
      </w:r>
      <w:r w:rsidR="003E5881">
        <w:t>part-time</w:t>
      </w:r>
      <w:r w:rsidR="00000E0A">
        <w:t xml:space="preserve"> work </w:t>
      </w:r>
      <w:r w:rsidR="00BE492B">
        <w:t>for</w:t>
      </w:r>
      <w:r w:rsidR="00000E0A">
        <w:t xml:space="preserve"> carers</w:t>
      </w:r>
      <w:r w:rsidR="0027274E">
        <w:t xml:space="preserve"> </w:t>
      </w:r>
      <w:r w:rsidR="00312CA0">
        <w:t>(</w:t>
      </w:r>
      <w:r w:rsidR="001D22DD">
        <w:fldChar w:fldCharType="begin"/>
      </w:r>
      <w:r w:rsidR="001D22DD">
        <w:instrText xml:space="preserve"> REF _Ref167981109 \h </w:instrText>
      </w:r>
      <w:r w:rsidR="001D22DD">
        <w:fldChar w:fldCharType="separate"/>
      </w:r>
      <w:r w:rsidR="002B65E2">
        <w:t xml:space="preserve">Figure </w:t>
      </w:r>
      <w:r w:rsidR="002B65E2">
        <w:rPr>
          <w:noProof/>
        </w:rPr>
        <w:t>19</w:t>
      </w:r>
      <w:r w:rsidR="001D22DD">
        <w:fldChar w:fldCharType="end"/>
      </w:r>
      <w:r w:rsidR="00312CA0">
        <w:t>)</w:t>
      </w:r>
      <w:r w:rsidR="00BE492B">
        <w:t xml:space="preserve">. </w:t>
      </w:r>
      <w:r w:rsidR="00364395">
        <w:t xml:space="preserve">Male </w:t>
      </w:r>
      <w:r w:rsidR="00D63804">
        <w:t>carers</w:t>
      </w:r>
      <w:r w:rsidR="003B1C53">
        <w:t xml:space="preserve"> consistently used the least amount of part-time work</w:t>
      </w:r>
      <w:r w:rsidR="00B03C34">
        <w:t xml:space="preserve"> </w:t>
      </w:r>
      <w:r w:rsidR="003B1C53">
        <w:t>proportionally as a cohort</w:t>
      </w:r>
      <w:r w:rsidR="00B03C34">
        <w:t xml:space="preserve"> </w:t>
      </w:r>
      <w:r w:rsidR="00D63804">
        <w:t>compared to other genders</w:t>
      </w:r>
      <w:r w:rsidR="00B03C34">
        <w:t>.</w:t>
      </w:r>
      <w:r w:rsidR="00D63804">
        <w:t xml:space="preserve"> </w:t>
      </w:r>
      <w:r w:rsidR="00364395">
        <w:t xml:space="preserve">Female </w:t>
      </w:r>
      <w:r w:rsidR="00D63804">
        <w:t>carers</w:t>
      </w:r>
      <w:r w:rsidR="00E9300A">
        <w:t xml:space="preserve"> </w:t>
      </w:r>
      <w:r w:rsidR="00D63804">
        <w:t>used the most</w:t>
      </w:r>
      <w:r w:rsidR="00B03C34">
        <w:t>.</w:t>
      </w:r>
    </w:p>
    <w:p w14:paraId="7A8EBA93" w14:textId="527DC449" w:rsidR="009E6130" w:rsidRPr="00DD0231" w:rsidRDefault="009317F1" w:rsidP="00DD0231">
      <w:pPr>
        <w:pStyle w:val="Heading5"/>
      </w:pPr>
      <w:bookmarkStart w:id="1307" w:name="_Ref167981109"/>
      <w:bookmarkStart w:id="1308" w:name="_Ref166851562"/>
      <w:bookmarkStart w:id="1309" w:name="_Toc168405568"/>
      <w:bookmarkStart w:id="1310" w:name="_Toc168408717"/>
      <w:bookmarkStart w:id="1311" w:name="_Toc168411007"/>
      <w:bookmarkStart w:id="1312" w:name="_Toc168405867"/>
      <w:bookmarkStart w:id="1313" w:name="_Toc168473675"/>
      <w:bookmarkStart w:id="1314" w:name="_Toc168471573"/>
      <w:bookmarkStart w:id="1315" w:name="_Toc168484633"/>
      <w:bookmarkStart w:id="1316" w:name="_Toc168495102"/>
      <w:bookmarkStart w:id="1317" w:name="_Toc168495551"/>
      <w:bookmarkStart w:id="1318" w:name="_Toc168586020"/>
      <w:bookmarkStart w:id="1319" w:name="_Toc168586455"/>
      <w:bookmarkStart w:id="1320" w:name="_Toc169278413"/>
      <w:bookmarkStart w:id="1321" w:name="_Toc169536528"/>
      <w:bookmarkStart w:id="1322" w:name="_Toc169708609"/>
      <w:bookmarkStart w:id="1323" w:name="_Toc170138037"/>
      <w:bookmarkStart w:id="1324" w:name="_Toc170140110"/>
      <w:bookmarkStart w:id="1325" w:name="_Toc173857141"/>
      <w:r>
        <w:lastRenderedPageBreak/>
        <w:t xml:space="preserve">Figure </w:t>
      </w:r>
      <w:r>
        <w:fldChar w:fldCharType="begin"/>
      </w:r>
      <w:r>
        <w:instrText>SEQ Figure \* ARABIC</w:instrText>
      </w:r>
      <w:r>
        <w:fldChar w:fldCharType="separate"/>
      </w:r>
      <w:r w:rsidR="002B65E2">
        <w:rPr>
          <w:noProof/>
        </w:rPr>
        <w:t>19</w:t>
      </w:r>
      <w:r>
        <w:fldChar w:fldCharType="end"/>
      </w:r>
      <w:bookmarkEnd w:id="1307"/>
      <w:r>
        <w:t xml:space="preserve"> Uptake of </w:t>
      </w:r>
      <w:r w:rsidR="003E5881">
        <w:t>part-time</w:t>
      </w:r>
      <w:r>
        <w:t xml:space="preserve"> work for different carers by gender</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7DE85412" w14:textId="4A1ABF1B" w:rsidR="00675E6A" w:rsidRDefault="00D63804" w:rsidP="00E8283B">
      <w:pPr>
        <w:rPr>
          <w:sz w:val="16"/>
          <w:szCs w:val="16"/>
        </w:rPr>
      </w:pPr>
      <w:r>
        <w:rPr>
          <w:noProof/>
          <w:lang w:eastAsia="en-AU"/>
        </w:rPr>
        <w:drawing>
          <wp:inline distT="0" distB="0" distL="0" distR="0" wp14:anchorId="398A14FA" wp14:editId="3BABF665">
            <wp:extent cx="5760000" cy="3060000"/>
            <wp:effectExtent l="0" t="0" r="0" b="7620"/>
            <wp:docPr id="13" name="Chart 13" descr="Figure 19 Uptake of part-time work for different carers by gender" title="Figur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4D8FD1B" w14:textId="4EC9DE5A" w:rsidR="00080A32" w:rsidRPr="00080A32" w:rsidRDefault="00080A32" w:rsidP="00E8283B">
      <w:pPr>
        <w:rPr>
          <w:sz w:val="16"/>
          <w:szCs w:val="16"/>
        </w:rPr>
      </w:pPr>
      <w:r w:rsidRPr="00080A32">
        <w:rPr>
          <w:sz w:val="16"/>
          <w:szCs w:val="16"/>
        </w:rPr>
        <w:t>Source: 2023 APS Employee Census</w:t>
      </w:r>
      <w:r w:rsidR="00876F89">
        <w:rPr>
          <w:sz w:val="16"/>
          <w:szCs w:val="16"/>
        </w:rPr>
        <w:t>.</w:t>
      </w:r>
    </w:p>
    <w:p w14:paraId="2CF9EC25" w14:textId="38DBBAA9" w:rsidR="00FF310B" w:rsidRPr="00AB108A" w:rsidRDefault="00F266AB" w:rsidP="00E8283B">
      <w:pPr>
        <w:rPr>
          <w:rFonts w:cstheme="minorHAnsi"/>
          <w:szCs w:val="20"/>
        </w:rPr>
      </w:pPr>
      <w:r>
        <w:t xml:space="preserve">Future incremental improvements to paid parental leave provisions for secondary carers, initiated </w:t>
      </w:r>
      <w:r w:rsidR="00DE6BE2">
        <w:t xml:space="preserve">as a result </w:t>
      </w:r>
      <w:r>
        <w:t>of APS-wide bargaining</w:t>
      </w:r>
      <w:r w:rsidR="00F83B16">
        <w:t xml:space="preserve">, may </w:t>
      </w:r>
      <w:r w:rsidR="00DC36FE" w:rsidRPr="3BEBFE99">
        <w:t>encourage men to take up more caring responsibilities</w:t>
      </w:r>
      <w:r w:rsidR="00B95E92" w:rsidRPr="3BEBFE99">
        <w:t xml:space="preserve"> and help to change cultural norms</w:t>
      </w:r>
      <w:r w:rsidR="00BC5CB7">
        <w:t xml:space="preserve">. </w:t>
      </w:r>
      <w:r w:rsidR="00B95E92">
        <w:t>There may be an opportunity for agencies to further promote these increased conditions within their communications.</w:t>
      </w:r>
    </w:p>
    <w:p w14:paraId="2153870C" w14:textId="29F0AE6C" w:rsidR="00156F7A" w:rsidRDefault="00156F7A" w:rsidP="00467B68">
      <w:pPr>
        <w:pStyle w:val="Heading2"/>
      </w:pPr>
      <w:bookmarkStart w:id="1326" w:name="_Toc165991679"/>
      <w:bookmarkStart w:id="1327" w:name="_Toc166082977"/>
      <w:bookmarkStart w:id="1328" w:name="_Toc166160341"/>
      <w:bookmarkStart w:id="1329" w:name="_Toc166168040"/>
      <w:bookmarkStart w:id="1330" w:name="_Toc168329204"/>
      <w:bookmarkStart w:id="1331" w:name="_Toc168322860"/>
      <w:bookmarkStart w:id="1332" w:name="_Toc168387977"/>
      <w:bookmarkStart w:id="1333" w:name="_Toc168405632"/>
      <w:bookmarkStart w:id="1334" w:name="_Toc168408670"/>
      <w:bookmarkStart w:id="1335" w:name="_Toc168411071"/>
      <w:bookmarkStart w:id="1336" w:name="_Toc168405930"/>
      <w:bookmarkStart w:id="1337" w:name="_Toc168473738"/>
      <w:bookmarkStart w:id="1338" w:name="_Toc168471636"/>
      <w:bookmarkStart w:id="1339" w:name="_Toc168484696"/>
      <w:bookmarkStart w:id="1340" w:name="_Toc168495164"/>
      <w:bookmarkStart w:id="1341" w:name="_Toc168495613"/>
      <w:bookmarkStart w:id="1342" w:name="_Toc169103281"/>
      <w:bookmarkStart w:id="1343" w:name="_Toc169104755"/>
      <w:bookmarkStart w:id="1344" w:name="_Toc169278471"/>
      <w:bookmarkStart w:id="1345" w:name="_Toc169536910"/>
      <w:bookmarkStart w:id="1346" w:name="_Toc169708657"/>
      <w:bookmarkStart w:id="1347" w:name="_Toc170119701"/>
      <w:bookmarkStart w:id="1348" w:name="_Toc170138084"/>
      <w:bookmarkStart w:id="1349" w:name="_Toc170140157"/>
      <w:bookmarkStart w:id="1350" w:name="_Toc181715740"/>
      <w:r>
        <w:t>Improving access to flexible work practices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4C582BF8" w14:textId="0CF00785" w:rsidR="007C3934" w:rsidRPr="00883DDD" w:rsidRDefault="007C3934" w:rsidP="00467B68">
      <w:pPr>
        <w:pStyle w:val="Heading3"/>
      </w:pPr>
      <w:bookmarkStart w:id="1351" w:name="_Toc165991680"/>
      <w:bookmarkStart w:id="1352" w:name="_Toc166082978"/>
      <w:bookmarkStart w:id="1353" w:name="_Toc166160342"/>
      <w:bookmarkStart w:id="1354" w:name="_Toc166168041"/>
      <w:bookmarkStart w:id="1355" w:name="_Toc168329205"/>
      <w:bookmarkStart w:id="1356" w:name="_Toc168322861"/>
      <w:bookmarkStart w:id="1357" w:name="_Toc168387978"/>
      <w:bookmarkStart w:id="1358" w:name="_Toc168405633"/>
      <w:bookmarkStart w:id="1359" w:name="_Toc168408671"/>
      <w:bookmarkStart w:id="1360" w:name="_Toc168411072"/>
      <w:bookmarkStart w:id="1361" w:name="_Toc168405931"/>
      <w:bookmarkStart w:id="1362" w:name="_Toc168473739"/>
      <w:bookmarkStart w:id="1363" w:name="_Toc168471637"/>
      <w:bookmarkStart w:id="1364" w:name="_Toc168484697"/>
      <w:bookmarkStart w:id="1365" w:name="_Toc168495165"/>
      <w:bookmarkStart w:id="1366" w:name="_Toc168495614"/>
      <w:bookmarkStart w:id="1367" w:name="_Toc169103282"/>
      <w:bookmarkStart w:id="1368" w:name="_Toc169104756"/>
      <w:bookmarkStart w:id="1369" w:name="_Toc169278472"/>
      <w:bookmarkStart w:id="1370" w:name="_Toc169536911"/>
      <w:bookmarkStart w:id="1371" w:name="_Toc169708658"/>
      <w:bookmarkStart w:id="1372" w:name="_Toc170119702"/>
      <w:bookmarkStart w:id="1373" w:name="_Toc170138085"/>
      <w:bookmarkStart w:id="1374" w:name="_Toc170140158"/>
      <w:r w:rsidRPr="00883DDD">
        <w:t>Flexible work policies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064AE210" w14:textId="10F0D36C" w:rsidR="007C3934" w:rsidRDefault="007C3934" w:rsidP="007C3934">
      <w:r>
        <w:t>Since the implementation of the Strategy</w:t>
      </w:r>
      <w:r w:rsidR="0074682F">
        <w:t>, t</w:t>
      </w:r>
      <w:r>
        <w:t xml:space="preserve">he </w:t>
      </w:r>
      <w:hyperlink r:id="rId65" w:history="1">
        <w:r w:rsidRPr="00374398">
          <w:rPr>
            <w:rStyle w:val="Hyperlink"/>
          </w:rPr>
          <w:t>Principles of flexible work in the APS</w:t>
        </w:r>
      </w:hyperlink>
      <w:r w:rsidR="00630022">
        <w:t xml:space="preserve"> </w:t>
      </w:r>
      <w:r w:rsidR="00313E61">
        <w:t>were endorsed</w:t>
      </w:r>
      <w:r w:rsidR="00033401">
        <w:t xml:space="preserve"> by </w:t>
      </w:r>
      <w:r w:rsidR="00984054">
        <w:t xml:space="preserve">the </w:t>
      </w:r>
      <w:r w:rsidR="00033401">
        <w:t>Secretaries Board on 28 March 2023</w:t>
      </w:r>
      <w:r w:rsidR="0074682F">
        <w:t xml:space="preserve"> and are </w:t>
      </w:r>
      <w:r w:rsidR="00984054">
        <w:t>as follows</w:t>
      </w:r>
      <w:r>
        <w:t>:</w:t>
      </w:r>
    </w:p>
    <w:p w14:paraId="01CF244F" w14:textId="7974B6D4" w:rsidR="007C3934" w:rsidRPr="00374398" w:rsidRDefault="007C3934" w:rsidP="00F9645E">
      <w:pPr>
        <w:pStyle w:val="ListParagraph"/>
        <w:numPr>
          <w:ilvl w:val="0"/>
          <w:numId w:val="11"/>
        </w:numPr>
      </w:pPr>
      <w:r w:rsidRPr="00374398">
        <w:t>Flexibility applies to all roles, with different types of flexibility bei</w:t>
      </w:r>
      <w:r w:rsidR="00984054">
        <w:t>ng suitable for different roles.</w:t>
      </w:r>
    </w:p>
    <w:p w14:paraId="02B0896D" w14:textId="1B78B9F2" w:rsidR="007C3934" w:rsidRPr="00374398" w:rsidRDefault="007C3934" w:rsidP="00F9645E">
      <w:pPr>
        <w:pStyle w:val="ListParagraph"/>
        <w:numPr>
          <w:ilvl w:val="0"/>
          <w:numId w:val="11"/>
        </w:numPr>
      </w:pPr>
      <w:r w:rsidRPr="00374398">
        <w:t xml:space="preserve">Flexibility </w:t>
      </w:r>
      <w:r w:rsidR="00984054">
        <w:t>needs to be mutually beneficial.</w:t>
      </w:r>
    </w:p>
    <w:p w14:paraId="4994B9D8" w14:textId="40AB39A1" w:rsidR="007C3934" w:rsidRPr="00374398" w:rsidRDefault="007C3934" w:rsidP="00F9645E">
      <w:pPr>
        <w:pStyle w:val="ListParagraph"/>
        <w:numPr>
          <w:ilvl w:val="0"/>
          <w:numId w:val="11"/>
        </w:numPr>
      </w:pPr>
      <w:r w:rsidRPr="00374398">
        <w:t xml:space="preserve">Organisational and team needs frame conversations about </w:t>
      </w:r>
      <w:r w:rsidR="003A0B5C">
        <w:t>individual flexibility arrangements</w:t>
      </w:r>
      <w:r w:rsidR="00984054">
        <w:t>.</w:t>
      </w:r>
    </w:p>
    <w:p w14:paraId="69AA7A7D" w14:textId="5F7B1DA0" w:rsidR="007C3934" w:rsidRPr="00374398" w:rsidRDefault="007C3934" w:rsidP="00F9645E">
      <w:pPr>
        <w:pStyle w:val="ListParagraph"/>
        <w:numPr>
          <w:ilvl w:val="0"/>
          <w:numId w:val="11"/>
        </w:numPr>
      </w:pPr>
      <w:r w:rsidRPr="00374398">
        <w:t>Flexible work arrangements value meaningful and regular face-to-face contact</w:t>
      </w:r>
      <w:r w:rsidR="00984054">
        <w:t>.</w:t>
      </w:r>
    </w:p>
    <w:p w14:paraId="4C29FC9A" w14:textId="77777777" w:rsidR="007C3934" w:rsidRPr="00374398" w:rsidRDefault="007C3934" w:rsidP="00F9645E">
      <w:pPr>
        <w:pStyle w:val="ListParagraph"/>
        <w:numPr>
          <w:ilvl w:val="0"/>
          <w:numId w:val="11"/>
        </w:numPr>
      </w:pPr>
      <w:r w:rsidRPr="00374398">
        <w:t>Flexibility is embedded, modelled and refined.</w:t>
      </w:r>
    </w:p>
    <w:p w14:paraId="1601B590" w14:textId="17865AED" w:rsidR="00313E61" w:rsidRDefault="00313E61" w:rsidP="0074682F">
      <w:r w:rsidRPr="00313E61">
        <w:t xml:space="preserve">These principles were a key input into APS bargaining which resulted in a </w:t>
      </w:r>
      <w:hyperlink r:id="rId66" w:history="1">
        <w:r w:rsidRPr="00313E61">
          <w:rPr>
            <w:rStyle w:val="Hyperlink"/>
          </w:rPr>
          <w:t>common clause on flexible working arrangements</w:t>
        </w:r>
      </w:hyperlink>
      <w:r w:rsidR="003F5D3F">
        <w:t>,</w:t>
      </w:r>
      <w:r w:rsidRPr="00313E61">
        <w:t xml:space="preserve"> </w:t>
      </w:r>
      <w:r w:rsidR="00842C2D">
        <w:t xml:space="preserve">and </w:t>
      </w:r>
      <w:r w:rsidRPr="00313E61">
        <w:t>which now appears in all APS enterprise agreements.</w:t>
      </w:r>
    </w:p>
    <w:p w14:paraId="7FD6EA17" w14:textId="2DF6AC71" w:rsidR="00984054" w:rsidRDefault="00984054" w:rsidP="00984054">
      <w:r>
        <w:t xml:space="preserve">Furthermore, the GES Survey found that 97% of responding agencies had a flexible work policy in place. 86% also had work from home / remote working policies, and 70% had carer responsibility policies. </w:t>
      </w:r>
    </w:p>
    <w:p w14:paraId="5BB10541" w14:textId="31AA074A" w:rsidR="009D629D" w:rsidRPr="00072819" w:rsidRDefault="009D629D" w:rsidP="00467B68">
      <w:pPr>
        <w:pStyle w:val="Heading3"/>
      </w:pPr>
      <w:bookmarkStart w:id="1375" w:name="_Toc165991681"/>
      <w:bookmarkStart w:id="1376" w:name="_Toc166082979"/>
      <w:bookmarkStart w:id="1377" w:name="_Toc166160343"/>
      <w:bookmarkStart w:id="1378" w:name="_Toc166168042"/>
      <w:bookmarkStart w:id="1379" w:name="_Toc168329206"/>
      <w:bookmarkStart w:id="1380" w:name="_Toc168322862"/>
      <w:bookmarkStart w:id="1381" w:name="_Toc168387979"/>
      <w:bookmarkStart w:id="1382" w:name="_Toc168405634"/>
      <w:bookmarkStart w:id="1383" w:name="_Toc168408672"/>
      <w:bookmarkStart w:id="1384" w:name="_Toc168411073"/>
      <w:bookmarkStart w:id="1385" w:name="_Toc168405932"/>
      <w:bookmarkStart w:id="1386" w:name="_Toc168473740"/>
      <w:bookmarkStart w:id="1387" w:name="_Toc168471638"/>
      <w:bookmarkStart w:id="1388" w:name="_Toc168484698"/>
      <w:bookmarkStart w:id="1389" w:name="_Toc168495166"/>
      <w:bookmarkStart w:id="1390" w:name="_Toc168495615"/>
      <w:bookmarkStart w:id="1391" w:name="_Toc169103283"/>
      <w:bookmarkStart w:id="1392" w:name="_Toc169104757"/>
      <w:bookmarkStart w:id="1393" w:name="_Toc169278473"/>
      <w:bookmarkStart w:id="1394" w:name="_Toc169536912"/>
      <w:bookmarkStart w:id="1395" w:name="_Toc169708659"/>
      <w:bookmarkStart w:id="1396" w:name="_Toc170119703"/>
      <w:bookmarkStart w:id="1397" w:name="_Toc170138086"/>
      <w:bookmarkStart w:id="1398" w:name="_Toc170140159"/>
      <w:r>
        <w:lastRenderedPageBreak/>
        <w:t>Working from home</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758882BA" w14:textId="3FEBF890" w:rsidR="009D629D" w:rsidRDefault="009D629D" w:rsidP="00756F3C">
      <w:r>
        <w:t>APS</w:t>
      </w:r>
      <w:r w:rsidR="006E5DFD">
        <w:t>-wide</w:t>
      </w:r>
      <w:r>
        <w:t xml:space="preserve"> bargaining has</w:t>
      </w:r>
      <w:r w:rsidR="00040EE9">
        <w:t xml:space="preserve"> locked in consistent flexible working rights across the service</w:t>
      </w:r>
      <w:r w:rsidR="00A071DA">
        <w:t>, including no caps on the number of days employees can request to work from home</w:t>
      </w:r>
      <w:r w:rsidR="00040EE9">
        <w:t>.</w:t>
      </w:r>
      <w:r w:rsidR="00F476AC">
        <w:t xml:space="preserve"> </w:t>
      </w:r>
      <w:r w:rsidR="00560143">
        <w:t xml:space="preserve">As part of </w:t>
      </w:r>
      <w:r w:rsidR="00F476AC">
        <w:t xml:space="preserve">new </w:t>
      </w:r>
      <w:r w:rsidR="00B563D7">
        <w:t>agency</w:t>
      </w:r>
      <w:r w:rsidR="00F476AC">
        <w:t xml:space="preserve"> enterprise agreements</w:t>
      </w:r>
      <w:r w:rsidR="00B563D7">
        <w:t>,</w:t>
      </w:r>
      <w:r w:rsidR="00F476AC">
        <w:t xml:space="preserve"> </w:t>
      </w:r>
      <w:r w:rsidR="00560143">
        <w:t>all</w:t>
      </w:r>
      <w:r w:rsidR="00F476AC">
        <w:t xml:space="preserve"> requests are to</w:t>
      </w:r>
      <w:r w:rsidR="00F01B5D">
        <w:t xml:space="preserve"> be considered on their merit</w:t>
      </w:r>
      <w:r w:rsidR="00FC11E9">
        <w:t xml:space="preserve"> and business requirements</w:t>
      </w:r>
      <w:r w:rsidR="00F01B5D">
        <w:t>.</w:t>
      </w:r>
      <w:r w:rsidR="00040EE9">
        <w:t xml:space="preserve"> </w:t>
      </w:r>
      <w:r w:rsidR="00F01B5D">
        <w:t>This encourage</w:t>
      </w:r>
      <w:r w:rsidR="00FC11E9">
        <w:t>s</w:t>
      </w:r>
      <w:r w:rsidR="00DC740F">
        <w:t xml:space="preserve"> conversations between managers and employees about what is </w:t>
      </w:r>
      <w:r w:rsidR="00F01B5D">
        <w:t>best fo</w:t>
      </w:r>
      <w:r w:rsidR="00FC11E9">
        <w:t>r both employees and the workplace</w:t>
      </w:r>
      <w:r w:rsidR="00F01B5D">
        <w:t>,</w:t>
      </w:r>
      <w:r w:rsidR="00DC740F">
        <w:t xml:space="preserve"> rather than blanket </w:t>
      </w:r>
      <w:r w:rsidR="00560143">
        <w:t>requirements</w:t>
      </w:r>
      <w:r w:rsidR="00F01B5D">
        <w:t xml:space="preserve"> t</w:t>
      </w:r>
      <w:r w:rsidR="00DC740F">
        <w:t xml:space="preserve">hat </w:t>
      </w:r>
      <w:r w:rsidR="00560143">
        <w:t xml:space="preserve">may </w:t>
      </w:r>
      <w:r w:rsidR="00A071DA">
        <w:t xml:space="preserve">prevent </w:t>
      </w:r>
      <w:r w:rsidR="00560143">
        <w:t xml:space="preserve">these </w:t>
      </w:r>
      <w:r w:rsidR="00F01B5D">
        <w:t>discussions.</w:t>
      </w:r>
    </w:p>
    <w:p w14:paraId="0BA4E94D" w14:textId="12527706" w:rsidR="00A96801" w:rsidRPr="004A7E50" w:rsidRDefault="004A7E50" w:rsidP="00F92FC5">
      <w:pPr>
        <w:pStyle w:val="Heading3"/>
      </w:pPr>
      <w:bookmarkStart w:id="1399" w:name="_Toc168329207"/>
      <w:bookmarkStart w:id="1400" w:name="_Toc168322863"/>
      <w:bookmarkStart w:id="1401" w:name="_Toc168387980"/>
      <w:bookmarkStart w:id="1402" w:name="_Toc168405635"/>
      <w:bookmarkStart w:id="1403" w:name="_Toc168408673"/>
      <w:bookmarkStart w:id="1404" w:name="_Toc168411074"/>
      <w:bookmarkStart w:id="1405" w:name="_Toc168405933"/>
      <w:bookmarkStart w:id="1406" w:name="_Toc168473741"/>
      <w:bookmarkStart w:id="1407" w:name="_Toc168471639"/>
      <w:bookmarkStart w:id="1408" w:name="_Toc168484699"/>
      <w:bookmarkStart w:id="1409" w:name="_Toc168495167"/>
      <w:bookmarkStart w:id="1410" w:name="_Toc168495616"/>
      <w:bookmarkStart w:id="1411" w:name="_Toc169103284"/>
      <w:bookmarkStart w:id="1412" w:name="_Toc169104758"/>
      <w:bookmarkStart w:id="1413" w:name="_Toc169278474"/>
      <w:bookmarkStart w:id="1414" w:name="_Toc169536913"/>
      <w:bookmarkStart w:id="1415" w:name="_Toc169708660"/>
      <w:bookmarkStart w:id="1416" w:name="_Toc170119704"/>
      <w:bookmarkStart w:id="1417" w:name="_Toc170138087"/>
      <w:bookmarkStart w:id="1418" w:name="_Toc170140160"/>
      <w:r w:rsidRPr="004A7E50">
        <w:t>Support for carers</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45EC1E4D" w14:textId="3652C7EC" w:rsidR="004A7E50" w:rsidRDefault="004A7E50" w:rsidP="004A7E50">
      <w:r>
        <w:t>APS</w:t>
      </w:r>
      <w:r w:rsidR="006E5DFD">
        <w:t>-wide</w:t>
      </w:r>
      <w:r>
        <w:t xml:space="preserve"> bargaining has implemented a range of changes to </w:t>
      </w:r>
      <w:r w:rsidR="00CE2EC5">
        <w:t xml:space="preserve">flexibility </w:t>
      </w:r>
      <w:r>
        <w:t xml:space="preserve">to support carers. Bargaining </w:t>
      </w:r>
      <w:r w:rsidR="00A1731C">
        <w:t>has</w:t>
      </w:r>
      <w:r>
        <w:t xml:space="preserve"> ensure</w:t>
      </w:r>
      <w:r w:rsidR="00A1731C">
        <w:t>d</w:t>
      </w:r>
      <w:r>
        <w:t xml:space="preserve"> </w:t>
      </w:r>
      <w:r w:rsidR="00CE2EC5">
        <w:t>employees at</w:t>
      </w:r>
      <w:r>
        <w:t xml:space="preserve"> all agencies have at least 18 days personal/carers’ paid leave. This </w:t>
      </w:r>
      <w:r w:rsidR="00560143">
        <w:t xml:space="preserve">has resulted in an increase of days </w:t>
      </w:r>
      <w:r>
        <w:t xml:space="preserve">for </w:t>
      </w:r>
      <w:r w:rsidR="00747107">
        <w:t>10</w:t>
      </w:r>
      <w:r>
        <w:t xml:space="preserve"> agencies. </w:t>
      </w:r>
      <w:r w:rsidR="00CE2EC5">
        <w:t>Additionally,</w:t>
      </w:r>
      <w:r>
        <w:t xml:space="preserve"> carers of someone with a chronic illness or disability </w:t>
      </w:r>
      <w:r w:rsidR="00560143">
        <w:t xml:space="preserve">are now </w:t>
      </w:r>
      <w:r>
        <w:t>able to provide one medical certificate to cover up to a 12 month period.</w:t>
      </w:r>
    </w:p>
    <w:p w14:paraId="6502D334" w14:textId="531B1259" w:rsidR="00C00D60" w:rsidRPr="00C22DD2" w:rsidRDefault="00C22DD2" w:rsidP="00F92FC5">
      <w:pPr>
        <w:pStyle w:val="Heading3"/>
      </w:pPr>
      <w:bookmarkStart w:id="1419" w:name="_Toc168329208"/>
      <w:bookmarkStart w:id="1420" w:name="_Toc168322864"/>
      <w:bookmarkStart w:id="1421" w:name="_Toc168387981"/>
      <w:bookmarkStart w:id="1422" w:name="_Toc168405636"/>
      <w:bookmarkStart w:id="1423" w:name="_Toc168408674"/>
      <w:bookmarkStart w:id="1424" w:name="_Toc168411075"/>
      <w:bookmarkStart w:id="1425" w:name="_Toc168405934"/>
      <w:bookmarkStart w:id="1426" w:name="_Toc168473742"/>
      <w:bookmarkStart w:id="1427" w:name="_Toc168471640"/>
      <w:bookmarkStart w:id="1428" w:name="_Toc168484700"/>
      <w:bookmarkStart w:id="1429" w:name="_Toc168495168"/>
      <w:bookmarkStart w:id="1430" w:name="_Toc168495617"/>
      <w:bookmarkStart w:id="1431" w:name="_Toc169103285"/>
      <w:bookmarkStart w:id="1432" w:name="_Toc169104759"/>
      <w:bookmarkStart w:id="1433" w:name="_Toc169278475"/>
      <w:bookmarkStart w:id="1434" w:name="_Toc169536914"/>
      <w:bookmarkStart w:id="1435" w:name="_Toc169708661"/>
      <w:bookmarkStart w:id="1436" w:name="_Toc170119705"/>
      <w:bookmarkStart w:id="1437" w:name="_Toc170138088"/>
      <w:bookmarkStart w:id="1438" w:name="_Toc170140161"/>
      <w:r w:rsidRPr="00C22DD2">
        <w:t>M</w:t>
      </w:r>
      <w:r w:rsidR="00C72F88" w:rsidRPr="00F92FC5">
        <w:t>an</w:t>
      </w:r>
      <w:r w:rsidRPr="00F92FC5">
        <w:t>ager training on flexible work</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4690E059" w14:textId="45392BD1" w:rsidR="009F4F51" w:rsidRDefault="00D209E5" w:rsidP="00756F3C">
      <w:pPr>
        <w:rPr>
          <w:rFonts w:cstheme="minorHAnsi"/>
          <w:szCs w:val="24"/>
        </w:rPr>
      </w:pPr>
      <w:r>
        <w:t>WGEA’s</w:t>
      </w:r>
      <w:r w:rsidR="009F4F51" w:rsidRPr="3BEBFE99">
        <w:t xml:space="preserve"> </w:t>
      </w:r>
      <w:r w:rsidR="00001C45" w:rsidRPr="00AE73CA">
        <w:rPr>
          <w:i/>
        </w:rPr>
        <w:t xml:space="preserve">2022 </w:t>
      </w:r>
      <w:r w:rsidR="009F4F51" w:rsidRPr="00AE73CA">
        <w:rPr>
          <w:i/>
        </w:rPr>
        <w:t>Commonwealth Public Sector Gender Equality Snapshot</w:t>
      </w:r>
      <w:r w:rsidR="009F4F51" w:rsidRPr="3BEBFE99">
        <w:t xml:space="preserve"> showed that </w:t>
      </w:r>
      <w:r w:rsidR="00F52E6A" w:rsidRPr="3BEBFE99">
        <w:t>54%</w:t>
      </w:r>
      <w:r w:rsidR="009F4F51" w:rsidRPr="3BEBFE99">
        <w:t xml:space="preserve"> of </w:t>
      </w:r>
      <w:r w:rsidR="00C76EE9" w:rsidRPr="3BEBFE99">
        <w:t xml:space="preserve">Commonwealth </w:t>
      </w:r>
      <w:r w:rsidR="0056212E">
        <w:t>entities</w:t>
      </w:r>
      <w:r w:rsidR="009F4F51" w:rsidRPr="3BEBFE99">
        <w:t xml:space="preserve"> had measures </w:t>
      </w:r>
      <w:r w:rsidR="00B740ED" w:rsidRPr="3BEBFE99">
        <w:t xml:space="preserve">in their flexible work arrangement </w:t>
      </w:r>
      <w:r w:rsidR="00894E5C" w:rsidRPr="3BEBFE99">
        <w:t>strategies</w:t>
      </w:r>
      <w:r w:rsidR="00B740ED" w:rsidRPr="3BEBFE99">
        <w:t xml:space="preserve"> or policies </w:t>
      </w:r>
      <w:r w:rsidR="009F4F51" w:rsidRPr="3BEBFE99">
        <w:t xml:space="preserve">to offer training for all employees on how to work </w:t>
      </w:r>
      <w:r w:rsidR="00CE2EC5" w:rsidRPr="3BEBFE99">
        <w:t xml:space="preserve">in </w:t>
      </w:r>
      <w:r w:rsidR="009F4F51" w:rsidRPr="3BEBFE99">
        <w:t>flexible and remote teams.</w:t>
      </w:r>
      <w:r w:rsidR="001142CB" w:rsidRPr="3BEBFE99">
        <w:rPr>
          <w:rStyle w:val="FootnoteReference"/>
        </w:rPr>
        <w:footnoteReference w:id="19"/>
      </w:r>
    </w:p>
    <w:p w14:paraId="416F9189" w14:textId="3AC9C25A" w:rsidR="00BE43F8" w:rsidRPr="00F92FC5" w:rsidRDefault="00446ABD" w:rsidP="00756F3C">
      <w:pPr>
        <w:rPr>
          <w:rFonts w:cstheme="minorHAnsi"/>
          <w:color w:val="auto"/>
          <w:szCs w:val="24"/>
        </w:rPr>
      </w:pPr>
      <w:r w:rsidRPr="00F92FC5">
        <w:rPr>
          <w:rFonts w:cstheme="minorHAnsi"/>
          <w:color w:val="auto"/>
          <w:szCs w:val="24"/>
        </w:rPr>
        <w:t>T</w:t>
      </w:r>
      <w:r w:rsidR="00C22DD2" w:rsidRPr="00F92FC5">
        <w:rPr>
          <w:rFonts w:cstheme="minorHAnsi"/>
          <w:color w:val="auto"/>
          <w:szCs w:val="24"/>
        </w:rPr>
        <w:t>he APS Academy has</w:t>
      </w:r>
      <w:r w:rsidR="009D1A0A">
        <w:rPr>
          <w:rFonts w:cstheme="minorHAnsi"/>
          <w:color w:val="auto"/>
          <w:szCs w:val="24"/>
        </w:rPr>
        <w:t xml:space="preserve"> </w:t>
      </w:r>
      <w:r w:rsidR="00C22DD2" w:rsidRPr="00F92FC5">
        <w:rPr>
          <w:rFonts w:cstheme="minorHAnsi"/>
          <w:color w:val="auto"/>
          <w:szCs w:val="24"/>
        </w:rPr>
        <w:t xml:space="preserve">introduced </w:t>
      </w:r>
      <w:r w:rsidR="00894E5C" w:rsidRPr="00F92FC5">
        <w:rPr>
          <w:rFonts w:cstheme="minorHAnsi"/>
          <w:color w:val="auto"/>
          <w:szCs w:val="24"/>
        </w:rPr>
        <w:t>2</w:t>
      </w:r>
      <w:r w:rsidR="00C22DD2" w:rsidRPr="00F92FC5">
        <w:rPr>
          <w:rFonts w:cstheme="minorHAnsi"/>
          <w:color w:val="auto"/>
          <w:szCs w:val="24"/>
        </w:rPr>
        <w:t xml:space="preserve"> courses to support managers across the service </w:t>
      </w:r>
      <w:r w:rsidR="00BE43F8" w:rsidRPr="00F92FC5">
        <w:rPr>
          <w:rFonts w:cstheme="minorHAnsi"/>
          <w:color w:val="auto"/>
          <w:szCs w:val="24"/>
        </w:rPr>
        <w:t xml:space="preserve">to build capability on flexible ways of </w:t>
      </w:r>
      <w:r w:rsidR="00C22DD2" w:rsidRPr="00F92FC5">
        <w:rPr>
          <w:rFonts w:cstheme="minorHAnsi"/>
          <w:color w:val="auto"/>
          <w:szCs w:val="24"/>
        </w:rPr>
        <w:t>working</w:t>
      </w:r>
      <w:r w:rsidR="0034337C">
        <w:rPr>
          <w:rFonts w:cstheme="minorHAnsi"/>
          <w:color w:val="auto"/>
          <w:szCs w:val="24"/>
        </w:rPr>
        <w:t>:</w:t>
      </w:r>
      <w:r w:rsidR="00C22DD2" w:rsidRPr="00F92FC5">
        <w:rPr>
          <w:rFonts w:cstheme="minorHAnsi"/>
          <w:color w:val="auto"/>
          <w:szCs w:val="24"/>
        </w:rPr>
        <w:t xml:space="preserve"> </w:t>
      </w:r>
    </w:p>
    <w:p w14:paraId="78ADD652" w14:textId="74C6F2AD" w:rsidR="00C22DD2" w:rsidRPr="00F92FC5" w:rsidRDefault="00C22DD2" w:rsidP="00F9645E">
      <w:pPr>
        <w:pStyle w:val="ListParagraph"/>
        <w:numPr>
          <w:ilvl w:val="0"/>
          <w:numId w:val="50"/>
        </w:numPr>
      </w:pPr>
      <w:r w:rsidRPr="0034337C">
        <w:rPr>
          <w:rFonts w:cstheme="minorHAnsi"/>
          <w:szCs w:val="24"/>
        </w:rPr>
        <w:t>The Leading Hybrid Teams course</w:t>
      </w:r>
      <w:r w:rsidR="00BE43F8" w:rsidRPr="00F92FC5">
        <w:rPr>
          <w:rFonts w:cstheme="minorHAnsi"/>
          <w:szCs w:val="24"/>
        </w:rPr>
        <w:t>, offered to EL1 employees and above,</w:t>
      </w:r>
      <w:r w:rsidRPr="00F92FC5">
        <w:rPr>
          <w:rFonts w:cstheme="minorHAnsi"/>
          <w:szCs w:val="24"/>
        </w:rPr>
        <w:t xml:space="preserve"> is designed to equip APS leaders with knowledge and frameworks to overcome the challenges and make the most of the opportunities associated with leading hybrid teams </w:t>
      </w:r>
      <w:r w:rsidR="00BE43F8" w:rsidRPr="00F92FC5">
        <w:rPr>
          <w:rFonts w:cstheme="minorHAnsi"/>
          <w:szCs w:val="24"/>
        </w:rPr>
        <w:t>in an APS context. It supports leaders</w:t>
      </w:r>
      <w:r w:rsidRPr="00F92FC5">
        <w:rPr>
          <w:rFonts w:cstheme="minorHAnsi"/>
          <w:szCs w:val="24"/>
        </w:rPr>
        <w:t xml:space="preserve"> </w:t>
      </w:r>
      <w:r w:rsidR="00CE2EC5" w:rsidRPr="00F92FC5">
        <w:rPr>
          <w:rFonts w:cstheme="minorHAnsi"/>
          <w:szCs w:val="24"/>
        </w:rPr>
        <w:t xml:space="preserve">to </w:t>
      </w:r>
      <w:r w:rsidRPr="00F92FC5">
        <w:rPr>
          <w:rFonts w:cstheme="minorHAnsi"/>
          <w:szCs w:val="24"/>
        </w:rPr>
        <w:t>make flexible working decisions in line with the intent of the APS Flexible Work Principles</w:t>
      </w:r>
      <w:r w:rsidR="00BE43F8" w:rsidRPr="00F92FC5">
        <w:rPr>
          <w:rFonts w:cstheme="minorHAnsi"/>
          <w:szCs w:val="24"/>
        </w:rPr>
        <w:t>.</w:t>
      </w:r>
    </w:p>
    <w:p w14:paraId="32C7369B" w14:textId="18595BD6" w:rsidR="00CE2EC5" w:rsidRPr="00F92FC5" w:rsidRDefault="00BE43F8" w:rsidP="00F9645E">
      <w:pPr>
        <w:pStyle w:val="ListParagraph"/>
        <w:numPr>
          <w:ilvl w:val="0"/>
          <w:numId w:val="50"/>
        </w:numPr>
      </w:pPr>
      <w:r w:rsidRPr="0034337C">
        <w:t xml:space="preserve">The APS Leadership </w:t>
      </w:r>
      <w:r w:rsidR="00CE2EC5" w:rsidRPr="00F92FC5">
        <w:t>E</w:t>
      </w:r>
      <w:r w:rsidRPr="00F92FC5">
        <w:t>dge course</w:t>
      </w:r>
      <w:r w:rsidR="00CE2EC5" w:rsidRPr="00F92FC5">
        <w:t>,</w:t>
      </w:r>
      <w:r w:rsidRPr="00F92FC5">
        <w:t xml:space="preserve"> offered to EL2 employees, develops leadership and management skills through a range of course activities</w:t>
      </w:r>
      <w:r w:rsidRPr="00F92FC5" w:rsidDel="00CE2EC5">
        <w:t>, including</w:t>
      </w:r>
      <w:r w:rsidRPr="00F92FC5">
        <w:t xml:space="preserve"> a focus on new ways of working.</w:t>
      </w:r>
    </w:p>
    <w:p w14:paraId="4D6631C2" w14:textId="7A5F33E6" w:rsidR="00D91F9B" w:rsidRPr="00F92FC5" w:rsidRDefault="00D91F9B" w:rsidP="00F62D7C">
      <w:pPr>
        <w:pStyle w:val="Heading3"/>
      </w:pPr>
      <w:bookmarkStart w:id="1439" w:name="_Toc165991682"/>
      <w:bookmarkStart w:id="1440" w:name="_Toc166082980"/>
      <w:bookmarkStart w:id="1441" w:name="_Toc166160344"/>
      <w:bookmarkStart w:id="1442" w:name="_Toc166168043"/>
      <w:bookmarkStart w:id="1443" w:name="_Toc168329209"/>
      <w:bookmarkStart w:id="1444" w:name="_Toc168322865"/>
      <w:bookmarkStart w:id="1445" w:name="_Toc168387982"/>
      <w:bookmarkStart w:id="1446" w:name="_Toc168405637"/>
      <w:bookmarkStart w:id="1447" w:name="_Toc168408675"/>
      <w:bookmarkStart w:id="1448" w:name="_Toc168411076"/>
      <w:bookmarkStart w:id="1449" w:name="_Toc168405935"/>
      <w:bookmarkStart w:id="1450" w:name="_Toc168473743"/>
      <w:bookmarkStart w:id="1451" w:name="_Toc168471641"/>
      <w:bookmarkStart w:id="1452" w:name="_Toc168484701"/>
      <w:bookmarkStart w:id="1453" w:name="_Toc168495169"/>
      <w:bookmarkStart w:id="1454" w:name="_Toc168495618"/>
      <w:bookmarkStart w:id="1455" w:name="_Toc169103286"/>
      <w:bookmarkStart w:id="1456" w:name="_Toc169104760"/>
      <w:bookmarkStart w:id="1457" w:name="_Toc169278476"/>
      <w:bookmarkStart w:id="1458" w:name="_Toc169536915"/>
      <w:bookmarkStart w:id="1459" w:name="_Toc169708662"/>
      <w:bookmarkStart w:id="1460" w:name="_Toc170119706"/>
      <w:bookmarkStart w:id="1461" w:name="_Toc170138089"/>
      <w:bookmarkStart w:id="1462" w:name="_Toc170140162"/>
      <w:r w:rsidRPr="00F92FC5">
        <w:t>Breastfeeding Friendly Workplaces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14:paraId="65BE8DE2" w14:textId="33A26BC3" w:rsidR="00401524" w:rsidRPr="00F92FC5" w:rsidRDefault="003C250A" w:rsidP="00B61704">
      <w:pPr>
        <w:rPr>
          <w:rFonts w:ascii="Arial" w:hAnsi="Arial" w:cs="Arial"/>
          <w:color w:val="auto"/>
          <w:shd w:val="clear" w:color="auto" w:fill="FFFFFF"/>
        </w:rPr>
      </w:pPr>
      <w:r w:rsidRPr="00F92FC5">
        <w:rPr>
          <w:rFonts w:ascii="Arial" w:hAnsi="Arial" w:cs="Arial"/>
          <w:color w:val="auto"/>
          <w:shd w:val="clear" w:color="auto" w:fill="FFFFFF"/>
        </w:rPr>
        <w:t xml:space="preserve">A breastfeeding friendly environment supports women who are balancing the challenges of </w:t>
      </w:r>
      <w:r w:rsidR="005F28AD">
        <w:rPr>
          <w:rFonts w:ascii="Arial" w:hAnsi="Arial" w:cs="Arial"/>
          <w:color w:val="auto"/>
          <w:shd w:val="clear" w:color="auto" w:fill="FFFFFF"/>
        </w:rPr>
        <w:t>parent</w:t>
      </w:r>
      <w:r w:rsidRPr="00F92FC5">
        <w:rPr>
          <w:rFonts w:ascii="Arial" w:hAnsi="Arial" w:cs="Arial"/>
          <w:color w:val="auto"/>
          <w:shd w:val="clear" w:color="auto" w:fill="FFFFFF"/>
        </w:rPr>
        <w:t xml:space="preserve">hood and </w:t>
      </w:r>
      <w:r w:rsidR="002F7B71" w:rsidRPr="00F92FC5">
        <w:rPr>
          <w:rFonts w:ascii="Arial" w:hAnsi="Arial" w:cs="Arial"/>
          <w:color w:val="auto"/>
          <w:shd w:val="clear" w:color="auto" w:fill="FFFFFF"/>
        </w:rPr>
        <w:t>returning to work</w:t>
      </w:r>
      <w:r w:rsidRPr="00F92FC5">
        <w:rPr>
          <w:rFonts w:ascii="Arial" w:hAnsi="Arial" w:cs="Arial"/>
          <w:color w:val="auto"/>
          <w:shd w:val="clear" w:color="auto" w:fill="FFFFFF"/>
        </w:rPr>
        <w:t>.</w:t>
      </w:r>
      <w:r w:rsidR="00B15D7A" w:rsidRPr="00F92FC5">
        <w:rPr>
          <w:rFonts w:ascii="Arial" w:hAnsi="Arial" w:cs="Arial"/>
          <w:color w:val="auto"/>
          <w:shd w:val="clear" w:color="auto" w:fill="FFFFFF"/>
        </w:rPr>
        <w:t xml:space="preserve"> </w:t>
      </w:r>
      <w:r w:rsidR="005F37C7" w:rsidRPr="00F92FC5">
        <w:rPr>
          <w:rFonts w:ascii="Arial" w:hAnsi="Arial" w:cs="Arial"/>
          <w:color w:val="auto"/>
          <w:shd w:val="clear" w:color="auto" w:fill="FFFFFF"/>
        </w:rPr>
        <w:t>T</w:t>
      </w:r>
      <w:r w:rsidR="00E800F6" w:rsidRPr="00F92FC5">
        <w:rPr>
          <w:rFonts w:ascii="Arial" w:hAnsi="Arial" w:cs="Arial"/>
          <w:color w:val="auto"/>
          <w:shd w:val="clear" w:color="auto" w:fill="FFFFFF"/>
        </w:rPr>
        <w:t>he Australian National</w:t>
      </w:r>
      <w:r w:rsidR="00543682" w:rsidRPr="00F92FC5">
        <w:rPr>
          <w:rFonts w:ascii="Arial" w:hAnsi="Arial" w:cs="Arial"/>
          <w:color w:val="auto"/>
          <w:shd w:val="clear" w:color="auto" w:fill="FFFFFF"/>
        </w:rPr>
        <w:t xml:space="preserve"> Breastfeeding stra</w:t>
      </w:r>
      <w:r w:rsidR="008942DC" w:rsidRPr="00F92FC5">
        <w:rPr>
          <w:rFonts w:ascii="Arial" w:hAnsi="Arial" w:cs="Arial"/>
          <w:color w:val="auto"/>
          <w:shd w:val="clear" w:color="auto" w:fill="FFFFFF"/>
        </w:rPr>
        <w:t>te</w:t>
      </w:r>
      <w:r w:rsidR="00543682" w:rsidRPr="00F92FC5">
        <w:rPr>
          <w:rFonts w:ascii="Arial" w:hAnsi="Arial" w:cs="Arial"/>
          <w:color w:val="auto"/>
          <w:shd w:val="clear" w:color="auto" w:fill="FFFFFF"/>
        </w:rPr>
        <w:t>gy</w:t>
      </w:r>
      <w:r w:rsidR="007E2545" w:rsidRPr="00F92FC5">
        <w:rPr>
          <w:rFonts w:ascii="Arial" w:hAnsi="Arial" w:cs="Arial"/>
          <w:color w:val="auto"/>
          <w:shd w:val="clear" w:color="auto" w:fill="FFFFFF"/>
        </w:rPr>
        <w:t xml:space="preserve"> has placed more emphasis on accreditation by including</w:t>
      </w:r>
      <w:r w:rsidR="00E800F6" w:rsidRPr="00F92FC5">
        <w:rPr>
          <w:rFonts w:ascii="Arial" w:hAnsi="Arial" w:cs="Arial"/>
          <w:color w:val="auto"/>
          <w:shd w:val="clear" w:color="auto" w:fill="FFFFFF"/>
        </w:rPr>
        <w:t xml:space="preserve"> a priority action for all agencies to seek Breastfeeding Friendly Workplace accreditation.</w:t>
      </w:r>
      <w:r w:rsidR="005F28AD" w:rsidRPr="005F28AD">
        <w:rPr>
          <w:rFonts w:ascii="Arial" w:hAnsi="Arial" w:cs="Arial"/>
          <w:color w:val="auto"/>
          <w:shd w:val="clear" w:color="auto" w:fill="FFFFFF"/>
        </w:rPr>
        <w:t xml:space="preserve"> </w:t>
      </w:r>
      <w:r w:rsidR="005F28AD" w:rsidRPr="00F92FC5">
        <w:rPr>
          <w:rFonts w:ascii="Arial" w:hAnsi="Arial" w:cs="Arial"/>
          <w:color w:val="auto"/>
          <w:shd w:val="clear" w:color="auto" w:fill="FFFFFF"/>
        </w:rPr>
        <w:t>Becoming accredited as a breastfeeding friendly workplace with the Australian Breastfeeding Association involves an application process that includes developing a breastfeeding policy, setting up a breastfeeding space</w:t>
      </w:r>
      <w:r w:rsidR="005F28AD">
        <w:rPr>
          <w:rFonts w:ascii="Arial" w:hAnsi="Arial" w:cs="Arial"/>
          <w:color w:val="auto"/>
          <w:shd w:val="clear" w:color="auto" w:fill="FFFFFF"/>
        </w:rPr>
        <w:t>,</w:t>
      </w:r>
      <w:r w:rsidR="005F28AD" w:rsidRPr="00F92FC5">
        <w:rPr>
          <w:rFonts w:ascii="Arial" w:hAnsi="Arial" w:cs="Arial"/>
          <w:color w:val="auto"/>
          <w:shd w:val="clear" w:color="auto" w:fill="FFFFFF"/>
        </w:rPr>
        <w:t xml:space="preserve"> and implementing a supportive culture. In December 2023, </w:t>
      </w:r>
      <w:r w:rsidR="005F28AD">
        <w:rPr>
          <w:rFonts w:ascii="Arial" w:hAnsi="Arial" w:cs="Arial"/>
          <w:color w:val="auto"/>
          <w:shd w:val="clear" w:color="auto" w:fill="FFFFFF"/>
        </w:rPr>
        <w:t xml:space="preserve">21 </w:t>
      </w:r>
      <w:r w:rsidR="005F28AD" w:rsidRPr="00F92FC5">
        <w:rPr>
          <w:rFonts w:ascii="Arial" w:hAnsi="Arial" w:cs="Arial"/>
          <w:color w:val="auto"/>
          <w:shd w:val="clear" w:color="auto" w:fill="FFFFFF"/>
        </w:rPr>
        <w:t xml:space="preserve">agencies were formally breastfeeding accredited and another </w:t>
      </w:r>
      <w:r w:rsidR="00B54D2D">
        <w:rPr>
          <w:rFonts w:ascii="Arial" w:hAnsi="Arial" w:cs="Arial"/>
          <w:color w:val="auto"/>
          <w:shd w:val="clear" w:color="auto" w:fill="FFFFFF"/>
        </w:rPr>
        <w:t>4</w:t>
      </w:r>
      <w:r w:rsidR="005F28AD" w:rsidRPr="00F92FC5">
        <w:rPr>
          <w:rFonts w:ascii="Arial" w:hAnsi="Arial" w:cs="Arial"/>
          <w:color w:val="auto"/>
          <w:shd w:val="clear" w:color="auto" w:fill="FFFFFF"/>
        </w:rPr>
        <w:t xml:space="preserve"> were in the process of becoming accredited</w:t>
      </w:r>
      <w:r w:rsidR="008E3363">
        <w:rPr>
          <w:rFonts w:ascii="Arial" w:hAnsi="Arial" w:cs="Arial"/>
          <w:color w:val="auto"/>
          <w:shd w:val="clear" w:color="auto" w:fill="FFFFFF"/>
        </w:rPr>
        <w:t>, according to the Australian Breastfeeding Association (</w:t>
      </w:r>
      <w:r w:rsidR="00E03C30">
        <w:rPr>
          <w:rFonts w:ascii="Arial" w:hAnsi="Arial" w:cs="Arial"/>
          <w:color w:val="auto"/>
          <w:shd w:val="clear" w:color="auto" w:fill="FFFFFF"/>
        </w:rPr>
        <w:t>personal communication</w:t>
      </w:r>
      <w:r w:rsidR="008E3363">
        <w:rPr>
          <w:rFonts w:ascii="Arial" w:hAnsi="Arial" w:cs="Arial"/>
          <w:color w:val="auto"/>
          <w:shd w:val="clear" w:color="auto" w:fill="FFFFFF"/>
        </w:rPr>
        <w:t>, December 2023)</w:t>
      </w:r>
      <w:r w:rsidR="001142CB">
        <w:rPr>
          <w:rFonts w:ascii="Arial" w:hAnsi="Arial" w:cs="Arial"/>
          <w:color w:val="auto"/>
          <w:shd w:val="clear" w:color="auto" w:fill="FFFFFF"/>
        </w:rPr>
        <w:t>.</w:t>
      </w:r>
      <w:r w:rsidR="005F28AD" w:rsidRPr="00F92FC5">
        <w:rPr>
          <w:rFonts w:ascii="Arial" w:hAnsi="Arial" w:cs="Arial"/>
          <w:color w:val="auto"/>
          <w:shd w:val="clear" w:color="auto" w:fill="FFFFFF"/>
        </w:rPr>
        <w:t xml:space="preserve"> This </w:t>
      </w:r>
      <w:r w:rsidR="005F28AD">
        <w:rPr>
          <w:rFonts w:ascii="Arial" w:hAnsi="Arial" w:cs="Arial"/>
          <w:color w:val="auto"/>
          <w:shd w:val="clear" w:color="auto" w:fill="FFFFFF"/>
        </w:rPr>
        <w:t xml:space="preserve">is an </w:t>
      </w:r>
      <w:r w:rsidR="005F28AD" w:rsidRPr="00F92FC5">
        <w:rPr>
          <w:rFonts w:ascii="Arial" w:hAnsi="Arial" w:cs="Arial"/>
          <w:color w:val="auto"/>
          <w:shd w:val="clear" w:color="auto" w:fill="FFFFFF"/>
        </w:rPr>
        <w:t xml:space="preserve">increase of </w:t>
      </w:r>
      <w:r w:rsidR="00B54D2D">
        <w:rPr>
          <w:rFonts w:ascii="Arial" w:hAnsi="Arial" w:cs="Arial"/>
          <w:color w:val="auto"/>
          <w:shd w:val="clear" w:color="auto" w:fill="FFFFFF"/>
        </w:rPr>
        <w:t>8</w:t>
      </w:r>
      <w:r w:rsidR="005F28AD" w:rsidRPr="00F92FC5">
        <w:rPr>
          <w:rFonts w:ascii="Arial" w:hAnsi="Arial" w:cs="Arial"/>
          <w:color w:val="auto"/>
          <w:shd w:val="clear" w:color="auto" w:fill="FFFFFF"/>
        </w:rPr>
        <w:t xml:space="preserve"> agencies since the start of the Strategy.</w:t>
      </w:r>
    </w:p>
    <w:p w14:paraId="5F658C79" w14:textId="7F1525E3" w:rsidR="005A0C7D" w:rsidRPr="00F92FC5" w:rsidRDefault="00AE73CA" w:rsidP="00B61704">
      <w:pPr>
        <w:rPr>
          <w:rFonts w:ascii="Arial" w:hAnsi="Arial" w:cs="Arial"/>
          <w:color w:val="auto"/>
          <w:shd w:val="clear" w:color="auto" w:fill="FFFFFF"/>
        </w:rPr>
      </w:pPr>
      <w:r>
        <w:rPr>
          <w:rFonts w:ascii="Arial" w:hAnsi="Arial" w:cs="Arial"/>
          <w:color w:val="auto"/>
          <w:shd w:val="clear" w:color="auto" w:fill="FFFFFF"/>
        </w:rPr>
        <w:lastRenderedPageBreak/>
        <w:t>WGEA’s</w:t>
      </w:r>
      <w:r w:rsidR="004158DE" w:rsidRPr="00F92FC5">
        <w:rPr>
          <w:rFonts w:ascii="Arial" w:hAnsi="Arial" w:cs="Arial"/>
          <w:color w:val="auto"/>
          <w:shd w:val="clear" w:color="auto" w:fill="FFFFFF"/>
        </w:rPr>
        <w:t xml:space="preserve"> </w:t>
      </w:r>
      <w:r w:rsidR="0056212E" w:rsidRPr="00AE73CA">
        <w:rPr>
          <w:rFonts w:ascii="Arial" w:hAnsi="Arial" w:cs="Arial"/>
          <w:i/>
          <w:color w:val="auto"/>
          <w:shd w:val="clear" w:color="auto" w:fill="FFFFFF"/>
        </w:rPr>
        <w:t xml:space="preserve">2022 </w:t>
      </w:r>
      <w:hyperlink r:id="rId67" w:history="1">
        <w:r w:rsidR="004158DE" w:rsidRPr="00AE73CA">
          <w:rPr>
            <w:i/>
            <w:color w:val="auto"/>
          </w:rPr>
          <w:t xml:space="preserve">Commonwealth </w:t>
        </w:r>
        <w:r w:rsidR="00894E5C" w:rsidRPr="00AE73CA">
          <w:rPr>
            <w:i/>
            <w:color w:val="auto"/>
          </w:rPr>
          <w:t>Public Sector G</w:t>
        </w:r>
        <w:r w:rsidR="004158DE" w:rsidRPr="00AE73CA">
          <w:rPr>
            <w:i/>
            <w:color w:val="auto"/>
          </w:rPr>
          <w:t>ende</w:t>
        </w:r>
        <w:r w:rsidR="00894E5C" w:rsidRPr="00AE73CA">
          <w:rPr>
            <w:i/>
            <w:color w:val="auto"/>
          </w:rPr>
          <w:t>r Equality S</w:t>
        </w:r>
        <w:r w:rsidR="004158DE" w:rsidRPr="00AE73CA">
          <w:rPr>
            <w:i/>
            <w:color w:val="auto"/>
          </w:rPr>
          <w:t>napshot</w:t>
        </w:r>
      </w:hyperlink>
      <w:r w:rsidR="004158DE" w:rsidRPr="00F92FC5">
        <w:rPr>
          <w:rFonts w:ascii="Arial" w:hAnsi="Arial" w:cs="Arial"/>
          <w:color w:val="auto"/>
          <w:shd w:val="clear" w:color="auto" w:fill="FFFFFF"/>
        </w:rPr>
        <w:t xml:space="preserve"> revealed that </w:t>
      </w:r>
      <w:r w:rsidR="00705B45">
        <w:rPr>
          <w:rFonts w:ascii="Arial" w:hAnsi="Arial" w:cs="Arial"/>
          <w:color w:val="auto"/>
          <w:shd w:val="clear" w:color="auto" w:fill="FFFFFF"/>
        </w:rPr>
        <w:t xml:space="preserve">96% of </w:t>
      </w:r>
      <w:r w:rsidR="00C76EE9">
        <w:rPr>
          <w:rFonts w:ascii="Arial" w:hAnsi="Arial" w:cs="Arial"/>
          <w:color w:val="auto"/>
          <w:shd w:val="clear" w:color="auto" w:fill="FFFFFF"/>
        </w:rPr>
        <w:t xml:space="preserve">Commonwealth </w:t>
      </w:r>
      <w:r w:rsidR="0056212E">
        <w:rPr>
          <w:rFonts w:ascii="Arial" w:hAnsi="Arial" w:cs="Arial"/>
          <w:color w:val="auto"/>
          <w:shd w:val="clear" w:color="auto" w:fill="FFFFFF"/>
        </w:rPr>
        <w:t>entities</w:t>
      </w:r>
      <w:r w:rsidR="004158DE" w:rsidRPr="00F92FC5">
        <w:rPr>
          <w:rFonts w:ascii="Arial" w:hAnsi="Arial" w:cs="Arial"/>
          <w:color w:val="auto"/>
          <w:shd w:val="clear" w:color="auto" w:fill="FFFFFF"/>
        </w:rPr>
        <w:t xml:space="preserve"> offered breastfeeding facilities on site.</w:t>
      </w:r>
      <w:r w:rsidR="002E798A">
        <w:rPr>
          <w:rStyle w:val="FootnoteReference"/>
          <w:rFonts w:ascii="Arial" w:hAnsi="Arial" w:cs="Arial"/>
          <w:color w:val="auto"/>
          <w:shd w:val="clear" w:color="auto" w:fill="FFFFFF"/>
        </w:rPr>
        <w:footnoteReference w:id="20"/>
      </w:r>
      <w:r w:rsidR="005A0C7D" w:rsidRPr="00F92FC5">
        <w:rPr>
          <w:rFonts w:ascii="Arial" w:hAnsi="Arial" w:cs="Arial"/>
          <w:color w:val="auto"/>
          <w:shd w:val="clear" w:color="auto" w:fill="FFFFFF"/>
        </w:rPr>
        <w:t xml:space="preserve"> APS</w:t>
      </w:r>
      <w:r w:rsidR="00894E5C" w:rsidRPr="00F92FC5">
        <w:rPr>
          <w:rFonts w:ascii="Arial" w:hAnsi="Arial" w:cs="Arial"/>
          <w:color w:val="auto"/>
          <w:shd w:val="clear" w:color="auto" w:fill="FFFFFF"/>
        </w:rPr>
        <w:t>-</w:t>
      </w:r>
      <w:r w:rsidR="005A0C7D" w:rsidRPr="00F92FC5">
        <w:rPr>
          <w:rFonts w:ascii="Arial" w:hAnsi="Arial" w:cs="Arial"/>
          <w:color w:val="auto"/>
          <w:shd w:val="clear" w:color="auto" w:fill="FFFFFF"/>
        </w:rPr>
        <w:t>wide bargaining has formally offered parents a break to breastfeed and express milk for their baby</w:t>
      </w:r>
      <w:r w:rsidR="00705B45">
        <w:rPr>
          <w:rFonts w:ascii="Arial" w:hAnsi="Arial" w:cs="Arial"/>
          <w:color w:val="auto"/>
          <w:shd w:val="clear" w:color="auto" w:fill="FFFFFF"/>
        </w:rPr>
        <w:t xml:space="preserve">, which </w:t>
      </w:r>
      <w:r w:rsidR="007C1D3F">
        <w:rPr>
          <w:rFonts w:ascii="Arial" w:hAnsi="Arial" w:cs="Arial"/>
          <w:color w:val="auto"/>
          <w:shd w:val="clear" w:color="auto" w:fill="FFFFFF"/>
        </w:rPr>
        <w:t>is</w:t>
      </w:r>
      <w:r w:rsidR="00705B45">
        <w:rPr>
          <w:rFonts w:ascii="Arial" w:hAnsi="Arial" w:cs="Arial"/>
          <w:color w:val="auto"/>
          <w:shd w:val="clear" w:color="auto" w:fill="FFFFFF"/>
        </w:rPr>
        <w:t xml:space="preserve"> a </w:t>
      </w:r>
      <w:r w:rsidR="005A0C7D" w:rsidRPr="00F92FC5">
        <w:rPr>
          <w:rFonts w:ascii="Arial" w:hAnsi="Arial" w:cs="Arial"/>
          <w:color w:val="auto"/>
          <w:shd w:val="clear" w:color="auto" w:fill="FFFFFF"/>
        </w:rPr>
        <w:t>new entitlement for 85 agencies</w:t>
      </w:r>
      <w:r w:rsidR="00705B45">
        <w:rPr>
          <w:rFonts w:ascii="Arial" w:hAnsi="Arial" w:cs="Arial"/>
          <w:color w:val="auto"/>
          <w:shd w:val="clear" w:color="auto" w:fill="FFFFFF"/>
        </w:rPr>
        <w:t>.</w:t>
      </w:r>
      <w:r w:rsidR="003C250A" w:rsidRPr="00F92FC5" w:rsidDel="003C250A">
        <w:rPr>
          <w:rFonts w:ascii="Arial" w:hAnsi="Arial" w:cs="Arial"/>
          <w:color w:val="auto"/>
          <w:shd w:val="clear" w:color="auto" w:fill="FFFFFF"/>
        </w:rPr>
        <w:t xml:space="preserve"> </w:t>
      </w:r>
    </w:p>
    <w:p w14:paraId="25162B66" w14:textId="07434C5E" w:rsidR="005B6879" w:rsidRDefault="005B6879" w:rsidP="00F62D7C">
      <w:pPr>
        <w:pStyle w:val="Heading3"/>
      </w:pPr>
      <w:bookmarkStart w:id="1463" w:name="_Toc165991683"/>
      <w:bookmarkStart w:id="1464" w:name="_Toc166082981"/>
      <w:bookmarkStart w:id="1465" w:name="_Toc166160345"/>
      <w:bookmarkStart w:id="1466" w:name="_Toc166168044"/>
      <w:bookmarkStart w:id="1467" w:name="_Toc168329210"/>
      <w:bookmarkStart w:id="1468" w:name="_Toc168322866"/>
      <w:bookmarkStart w:id="1469" w:name="_Toc168387983"/>
      <w:bookmarkStart w:id="1470" w:name="_Toc168405638"/>
      <w:bookmarkStart w:id="1471" w:name="_Toc168408676"/>
      <w:bookmarkStart w:id="1472" w:name="_Toc168411077"/>
      <w:bookmarkStart w:id="1473" w:name="_Toc168405936"/>
      <w:bookmarkStart w:id="1474" w:name="_Toc168473744"/>
      <w:bookmarkStart w:id="1475" w:name="_Toc168471642"/>
      <w:bookmarkStart w:id="1476" w:name="_Toc168484702"/>
      <w:bookmarkStart w:id="1477" w:name="_Toc168495170"/>
      <w:bookmarkStart w:id="1478" w:name="_Toc168495619"/>
      <w:bookmarkStart w:id="1479" w:name="_Toc169103287"/>
      <w:bookmarkStart w:id="1480" w:name="_Toc169104761"/>
      <w:bookmarkStart w:id="1481" w:name="_Toc169278477"/>
      <w:bookmarkStart w:id="1482" w:name="_Toc169536916"/>
      <w:bookmarkStart w:id="1483" w:name="_Toc169708663"/>
      <w:bookmarkStart w:id="1484" w:name="_Toc170119707"/>
      <w:bookmarkStart w:id="1485" w:name="_Toc170138090"/>
      <w:bookmarkStart w:id="1486" w:name="_Toc170140163"/>
      <w:r>
        <w:t>Advertising APS position</w:t>
      </w:r>
      <w:r w:rsidR="00190E0E">
        <w:t>s, full-time, part-time</w:t>
      </w:r>
      <w:r w:rsidR="00F0380E">
        <w:t>,</w:t>
      </w:r>
      <w:r w:rsidR="00190E0E">
        <w:t xml:space="preserve"> and </w:t>
      </w:r>
      <w:r w:rsidR="00F0380E">
        <w:t xml:space="preserve">as </w:t>
      </w:r>
      <w:r w:rsidR="00190E0E">
        <w:t xml:space="preserve">job </w:t>
      </w:r>
      <w:r>
        <w:t>share</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13215263" w14:textId="21DE00CC" w:rsidR="00324335" w:rsidRPr="00324335" w:rsidRDefault="00DB053F" w:rsidP="00636A14">
      <w:r w:rsidRPr="00636A14">
        <w:t xml:space="preserve">The GES </w:t>
      </w:r>
      <w:r w:rsidR="00593AB7">
        <w:t>Survey</w:t>
      </w:r>
      <w:r w:rsidRPr="00636A14">
        <w:t xml:space="preserve"> found that </w:t>
      </w:r>
      <w:r w:rsidR="00095C57">
        <w:t xml:space="preserve">29% of responding </w:t>
      </w:r>
      <w:r w:rsidRPr="00636A14">
        <w:t xml:space="preserve">agencies had considered advertising </w:t>
      </w:r>
      <w:r w:rsidRPr="00AE4F2B">
        <w:t>all</w:t>
      </w:r>
      <w:r w:rsidRPr="00636A14">
        <w:t xml:space="preserve"> positions </w:t>
      </w:r>
      <w:r w:rsidR="003C250A">
        <w:t xml:space="preserve">as </w:t>
      </w:r>
      <w:r w:rsidRPr="00636A14">
        <w:t>full-time, part-time</w:t>
      </w:r>
      <w:r w:rsidR="00095C57">
        <w:t>,</w:t>
      </w:r>
      <w:r w:rsidRPr="00636A14">
        <w:t xml:space="preserve"> and job share</w:t>
      </w:r>
      <w:r w:rsidR="003C250A">
        <w:t xml:space="preserve">. </w:t>
      </w:r>
      <w:r w:rsidR="00095C57">
        <w:t xml:space="preserve">5% </w:t>
      </w:r>
      <w:r w:rsidR="000844F2">
        <w:t xml:space="preserve">managed to do so </w:t>
      </w:r>
      <w:r w:rsidRPr="00AE4F2B">
        <w:t>all</w:t>
      </w:r>
      <w:r w:rsidRPr="00636A14">
        <w:t xml:space="preserve"> of the time</w:t>
      </w:r>
      <w:r w:rsidR="00636A14" w:rsidRPr="00636A14">
        <w:t xml:space="preserve"> </w:t>
      </w:r>
      <w:r w:rsidR="00636A14" w:rsidRPr="001D22DD">
        <w:t>(</w:t>
      </w:r>
      <w:r w:rsidR="001D22DD" w:rsidRPr="001D22DD">
        <w:fldChar w:fldCharType="begin"/>
      </w:r>
      <w:r w:rsidR="001D22DD" w:rsidRPr="001D22DD">
        <w:instrText xml:space="preserve"> REF _Ref167981166 \h  \* MERGEFORMAT </w:instrText>
      </w:r>
      <w:r w:rsidR="001D22DD" w:rsidRPr="001D22DD">
        <w:fldChar w:fldCharType="separate"/>
      </w:r>
      <w:r w:rsidR="002B65E2" w:rsidRPr="00D934B0">
        <w:t xml:space="preserve">Figure </w:t>
      </w:r>
      <w:r w:rsidR="002B65E2">
        <w:rPr>
          <w:noProof/>
        </w:rPr>
        <w:t>20</w:t>
      </w:r>
      <w:r w:rsidR="001D22DD" w:rsidRPr="001D22DD">
        <w:fldChar w:fldCharType="end"/>
      </w:r>
      <w:r w:rsidR="00636A14" w:rsidRPr="00636A14">
        <w:t>)</w:t>
      </w:r>
      <w:r w:rsidR="00095C57">
        <w:t xml:space="preserve">, </w:t>
      </w:r>
      <w:r w:rsidR="000844F2">
        <w:t>with</w:t>
      </w:r>
      <w:r w:rsidR="00095C57">
        <w:t xml:space="preserve"> 24% </w:t>
      </w:r>
      <w:r w:rsidR="000844F2">
        <w:t>doing</w:t>
      </w:r>
      <w:r w:rsidR="0080189C">
        <w:t xml:space="preserve"> so</w:t>
      </w:r>
      <w:r w:rsidR="00636A14">
        <w:t xml:space="preserve"> </w:t>
      </w:r>
      <w:r w:rsidR="0080189C">
        <w:t xml:space="preserve">at least </w:t>
      </w:r>
      <w:r w:rsidR="00636A14">
        <w:t>some of the time</w:t>
      </w:r>
      <w:r w:rsidR="00636A14" w:rsidRPr="00636A14">
        <w:t>.</w:t>
      </w:r>
      <w:r w:rsidR="00095C57">
        <w:t xml:space="preserve"> 49% advertised some roles as full-time and part-time.</w:t>
      </w:r>
    </w:p>
    <w:p w14:paraId="736140D2" w14:textId="4FFD439D" w:rsidR="00BC0E93" w:rsidRPr="00D934B0" w:rsidRDefault="00D934B0" w:rsidP="006270FE">
      <w:pPr>
        <w:pStyle w:val="Heading5"/>
        <w:rPr>
          <w:shd w:val="clear" w:color="auto" w:fill="FFFFFF"/>
        </w:rPr>
      </w:pPr>
      <w:bookmarkStart w:id="1487" w:name="_Ref167981166"/>
      <w:bookmarkStart w:id="1488" w:name="_Ref166512602"/>
      <w:bookmarkStart w:id="1489" w:name="_Toc168405569"/>
      <w:bookmarkStart w:id="1490" w:name="_Toc168408718"/>
      <w:bookmarkStart w:id="1491" w:name="_Toc168411008"/>
      <w:bookmarkStart w:id="1492" w:name="_Toc168405868"/>
      <w:bookmarkStart w:id="1493" w:name="_Toc168473676"/>
      <w:bookmarkStart w:id="1494" w:name="_Toc168471574"/>
      <w:bookmarkStart w:id="1495" w:name="_Toc168484634"/>
      <w:bookmarkStart w:id="1496" w:name="_Toc168495103"/>
      <w:bookmarkStart w:id="1497" w:name="_Toc168495552"/>
      <w:bookmarkStart w:id="1498" w:name="_Toc168586021"/>
      <w:bookmarkStart w:id="1499" w:name="_Toc168586456"/>
      <w:bookmarkStart w:id="1500" w:name="_Toc169278414"/>
      <w:bookmarkStart w:id="1501" w:name="_Toc169536529"/>
      <w:bookmarkStart w:id="1502" w:name="_Toc169708610"/>
      <w:bookmarkStart w:id="1503" w:name="_Toc170138038"/>
      <w:bookmarkStart w:id="1504" w:name="_Toc170140111"/>
      <w:bookmarkStart w:id="1505" w:name="_Toc173857142"/>
      <w:r w:rsidRPr="00D934B0">
        <w:t xml:space="preserve">Figure </w:t>
      </w:r>
      <w:r>
        <w:fldChar w:fldCharType="begin"/>
      </w:r>
      <w:r w:rsidRPr="00D934B0">
        <w:instrText xml:space="preserve"> SEQ Figure \* ARABIC </w:instrText>
      </w:r>
      <w:r>
        <w:fldChar w:fldCharType="separate"/>
      </w:r>
      <w:r w:rsidR="002B65E2">
        <w:rPr>
          <w:noProof/>
        </w:rPr>
        <w:t>20</w:t>
      </w:r>
      <w:r>
        <w:fldChar w:fldCharType="end"/>
      </w:r>
      <w:bookmarkEnd w:id="1487"/>
      <w:r w:rsidRPr="00D934B0">
        <w:t xml:space="preserve"> </w:t>
      </w:r>
      <w:r w:rsidR="00C05692" w:rsidRPr="00D934B0">
        <w:rPr>
          <w:shd w:val="clear" w:color="auto" w:fill="FFFFFF"/>
        </w:rPr>
        <w:t>Share of agencies that advertised positions as</w:t>
      </w:r>
      <w:bookmarkEnd w:id="1488"/>
      <w:r w:rsidR="006270FE">
        <w:rPr>
          <w:shd w:val="clear" w:color="auto" w:fill="FFFFFF"/>
        </w:rPr>
        <w:t xml:space="preserve"> full-time, part-time</w:t>
      </w:r>
      <w:r w:rsidR="00435D3B">
        <w:rPr>
          <w:shd w:val="clear" w:color="auto" w:fill="FFFFFF"/>
        </w:rPr>
        <w:t>,</w:t>
      </w:r>
      <w:r w:rsidR="006270FE">
        <w:rPr>
          <w:shd w:val="clear" w:color="auto" w:fill="FFFFFF"/>
        </w:rPr>
        <w:t xml:space="preserve"> or job share</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121BCA05" w14:textId="1D15A5A4" w:rsidR="00BC0E93" w:rsidRDefault="006A4DE8" w:rsidP="00B61704">
      <w:pPr>
        <w:rPr>
          <w:highlight w:val="green"/>
        </w:rPr>
      </w:pPr>
      <w:r>
        <w:rPr>
          <w:noProof/>
          <w:lang w:eastAsia="en-AU"/>
        </w:rPr>
        <w:drawing>
          <wp:inline distT="0" distB="0" distL="0" distR="0" wp14:anchorId="1E407A54" wp14:editId="1EEA5432">
            <wp:extent cx="5760000" cy="2700000"/>
            <wp:effectExtent l="0" t="0" r="0" b="5715"/>
            <wp:docPr id="22" name="Chart 22" descr="Share of agencies that advertised positions as full-time, part-time, or job share" title="Figure 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C0F7638" w14:textId="6A1B3096" w:rsidR="00BC0E93" w:rsidRDefault="00C13151" w:rsidP="00B61704">
      <w:pPr>
        <w:rPr>
          <w:highlight w:val="green"/>
        </w:rPr>
      </w:pPr>
      <w:r w:rsidRPr="005662A8">
        <w:rPr>
          <w:sz w:val="16"/>
          <w:szCs w:val="16"/>
        </w:rPr>
        <w:t xml:space="preserve">Source: </w:t>
      </w:r>
      <w:r>
        <w:rPr>
          <w:sz w:val="16"/>
          <w:szCs w:val="16"/>
        </w:rPr>
        <w:t xml:space="preserve">2024 </w:t>
      </w:r>
      <w:r w:rsidR="008A3BB3">
        <w:rPr>
          <w:sz w:val="16"/>
          <w:szCs w:val="16"/>
        </w:rPr>
        <w:t>GES</w:t>
      </w:r>
      <w:r>
        <w:rPr>
          <w:sz w:val="16"/>
          <w:szCs w:val="16"/>
        </w:rPr>
        <w:t xml:space="preserve"> Survey</w:t>
      </w:r>
      <w:r w:rsidR="00876F89">
        <w:rPr>
          <w:sz w:val="16"/>
          <w:szCs w:val="16"/>
        </w:rPr>
        <w:t>.</w:t>
      </w:r>
    </w:p>
    <w:p w14:paraId="4AD249FD" w14:textId="4DD22658" w:rsidR="00B37586" w:rsidRDefault="000C5FE3" w:rsidP="00B37586">
      <w:r>
        <w:t xml:space="preserve">71% of </w:t>
      </w:r>
      <w:r w:rsidR="00164CB1">
        <w:t xml:space="preserve">responding </w:t>
      </w:r>
      <w:r>
        <w:t xml:space="preserve">agencies </w:t>
      </w:r>
      <w:r w:rsidR="004505A1">
        <w:t>had not considered</w:t>
      </w:r>
      <w:r w:rsidR="004505A1" w:rsidRPr="004505A1">
        <w:t xml:space="preserve"> </w:t>
      </w:r>
      <w:r w:rsidR="004505A1">
        <w:t>advertising all positions as full-time, part-t</w:t>
      </w:r>
      <w:r w:rsidR="004505A1" w:rsidRPr="0035759A">
        <w:t>ime</w:t>
      </w:r>
      <w:r>
        <w:t>,</w:t>
      </w:r>
      <w:r w:rsidR="004505A1">
        <w:t xml:space="preserve"> and job share</w:t>
      </w:r>
      <w:r>
        <w:t xml:space="preserve">. </w:t>
      </w:r>
      <w:r w:rsidR="00B37586">
        <w:t>Of these</w:t>
      </w:r>
      <w:r w:rsidR="00B37586" w:rsidRPr="0061794A">
        <w:t xml:space="preserve"> agencies</w:t>
      </w:r>
      <w:r w:rsidR="00B37586">
        <w:t>,</w:t>
      </w:r>
      <w:r w:rsidR="00B37586" w:rsidRPr="0061794A">
        <w:t xml:space="preserve"> 9% reported that they were too small to either offer these options or look into this matter</w:t>
      </w:r>
      <w:r w:rsidR="00B37586">
        <w:t xml:space="preserve">, and 8% reported that they had not yet considered offering all positions with these options. The rest could not design their positions to meet all </w:t>
      </w:r>
      <w:r w:rsidR="00B54D2D">
        <w:t>3</w:t>
      </w:r>
      <w:r w:rsidR="00B37586">
        <w:t xml:space="preserve"> criteria:</w:t>
      </w:r>
    </w:p>
    <w:p w14:paraId="6AC0D014" w14:textId="01683E86" w:rsidR="004505A1" w:rsidRDefault="000C5FE3" w:rsidP="00F9645E">
      <w:pPr>
        <w:pStyle w:val="BulletLevel1"/>
        <w:numPr>
          <w:ilvl w:val="0"/>
          <w:numId w:val="38"/>
        </w:numPr>
      </w:pPr>
      <w:r>
        <w:t xml:space="preserve">79% reported that </w:t>
      </w:r>
      <w:r w:rsidR="004505A1">
        <w:t xml:space="preserve">not all </w:t>
      </w:r>
      <w:r>
        <w:t xml:space="preserve">their </w:t>
      </w:r>
      <w:r w:rsidR="004505A1">
        <w:t xml:space="preserve">positions </w:t>
      </w:r>
      <w:r>
        <w:t xml:space="preserve">could </w:t>
      </w:r>
      <w:r w:rsidR="004505A1">
        <w:t>be designed for job sharing</w:t>
      </w:r>
    </w:p>
    <w:p w14:paraId="5CA79591" w14:textId="31F87444" w:rsidR="004505A1" w:rsidRDefault="000C5FE3" w:rsidP="00F9645E">
      <w:pPr>
        <w:pStyle w:val="BulletLevel1"/>
        <w:numPr>
          <w:ilvl w:val="0"/>
          <w:numId w:val="38"/>
        </w:numPr>
      </w:pPr>
      <w:r>
        <w:t xml:space="preserve">59% reported that </w:t>
      </w:r>
      <w:r w:rsidR="004505A1">
        <w:t xml:space="preserve">not all </w:t>
      </w:r>
      <w:r>
        <w:t xml:space="preserve">their </w:t>
      </w:r>
      <w:r w:rsidR="004505A1">
        <w:t>position</w:t>
      </w:r>
      <w:r>
        <w:t xml:space="preserve">s could </w:t>
      </w:r>
      <w:r w:rsidR="004505A1">
        <w:t>be offered as part-time</w:t>
      </w:r>
    </w:p>
    <w:p w14:paraId="23A9B5A3" w14:textId="78F9E8BD" w:rsidR="00B37586" w:rsidRDefault="000C5FE3" w:rsidP="00F9645E">
      <w:pPr>
        <w:pStyle w:val="BulletLevel1"/>
        <w:numPr>
          <w:ilvl w:val="0"/>
          <w:numId w:val="38"/>
        </w:numPr>
      </w:pPr>
      <w:r>
        <w:t xml:space="preserve">6% reported that </w:t>
      </w:r>
      <w:r w:rsidR="003F2986">
        <w:t xml:space="preserve">not all </w:t>
      </w:r>
      <w:r>
        <w:t xml:space="preserve">their </w:t>
      </w:r>
      <w:r w:rsidR="003F2986">
        <w:t xml:space="preserve">positions </w:t>
      </w:r>
      <w:r>
        <w:t xml:space="preserve">could </w:t>
      </w:r>
      <w:r w:rsidR="003F2986">
        <w:t xml:space="preserve">be advertised this way due to </w:t>
      </w:r>
      <w:r>
        <w:t xml:space="preserve">the </w:t>
      </w:r>
      <w:r w:rsidR="003F2986">
        <w:t xml:space="preserve">nature of </w:t>
      </w:r>
      <w:r>
        <w:t xml:space="preserve">the </w:t>
      </w:r>
      <w:r w:rsidR="003F2986">
        <w:t xml:space="preserve">work </w:t>
      </w:r>
      <w:r>
        <w:t>in those positions.</w:t>
      </w:r>
    </w:p>
    <w:p w14:paraId="2C6BA7B6" w14:textId="77777777" w:rsidR="003A5F45" w:rsidRDefault="003A5F45">
      <w:pPr>
        <w:spacing w:line="360" w:lineRule="auto"/>
        <w:rPr>
          <w:rFonts w:asciiTheme="majorHAnsi" w:eastAsiaTheme="majorEastAsia" w:hAnsiTheme="majorHAnsi" w:cstheme="majorBidi"/>
          <w:sz w:val="40"/>
          <w:szCs w:val="32"/>
        </w:rPr>
      </w:pPr>
      <w:bookmarkStart w:id="1506" w:name="_Toc165991684"/>
      <w:bookmarkStart w:id="1507" w:name="_Toc166082982"/>
      <w:bookmarkStart w:id="1508" w:name="_Toc166160346"/>
      <w:bookmarkStart w:id="1509" w:name="_Toc166168045"/>
      <w:bookmarkStart w:id="1510" w:name="_Toc168329211"/>
      <w:bookmarkStart w:id="1511" w:name="_Toc168322867"/>
      <w:bookmarkStart w:id="1512" w:name="_Toc168387984"/>
      <w:bookmarkStart w:id="1513" w:name="_Toc168405639"/>
      <w:bookmarkStart w:id="1514" w:name="_Toc168408677"/>
      <w:bookmarkStart w:id="1515" w:name="_Toc168411078"/>
      <w:bookmarkStart w:id="1516" w:name="_Toc168405937"/>
      <w:bookmarkStart w:id="1517" w:name="_Toc168473745"/>
      <w:bookmarkStart w:id="1518" w:name="_Toc168471643"/>
      <w:bookmarkStart w:id="1519" w:name="_Toc168484703"/>
      <w:bookmarkStart w:id="1520" w:name="_Toc168495171"/>
      <w:bookmarkStart w:id="1521" w:name="_Toc168495620"/>
      <w:bookmarkStart w:id="1522" w:name="_Toc169103288"/>
      <w:bookmarkStart w:id="1523" w:name="_Toc169104762"/>
      <w:bookmarkStart w:id="1524" w:name="_Toc169278478"/>
      <w:bookmarkStart w:id="1525" w:name="_Toc169536917"/>
      <w:bookmarkStart w:id="1526" w:name="_Toc169708664"/>
      <w:bookmarkStart w:id="1527" w:name="_Toc170119708"/>
      <w:bookmarkStart w:id="1528" w:name="_Toc170138091"/>
      <w:bookmarkStart w:id="1529" w:name="_Toc170140164"/>
      <w:bookmarkStart w:id="1530" w:name="_Toc181715741"/>
      <w:r>
        <w:br w:type="page"/>
      </w:r>
    </w:p>
    <w:p w14:paraId="05D10780" w14:textId="6C69A855" w:rsidR="00026127" w:rsidRDefault="00AD42D7" w:rsidP="00026127">
      <w:pPr>
        <w:pStyle w:val="Heading1"/>
      </w:pPr>
      <w:r>
        <w:lastRenderedPageBreak/>
        <w:t xml:space="preserve">Strategy impacts on </w:t>
      </w:r>
      <w:r w:rsidR="00026127">
        <w:t>Action Area 5: Gender data</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tbl>
      <w:tblPr>
        <w:tblStyle w:val="TableGrid"/>
        <w:tblW w:w="0" w:type="auto"/>
        <w:tblLook w:val="04A0" w:firstRow="1" w:lastRow="0" w:firstColumn="1" w:lastColumn="0" w:noHBand="0" w:noVBand="1"/>
        <w:tblCaption w:val="Strategy impacts on Action Area 5: Gender data"/>
      </w:tblPr>
      <w:tblGrid>
        <w:gridCol w:w="3334"/>
        <w:gridCol w:w="1472"/>
        <w:gridCol w:w="4254"/>
      </w:tblGrid>
      <w:tr w:rsidR="005F6814" w:rsidRPr="009A4425" w14:paraId="00A7EB34" w14:textId="77777777" w:rsidTr="00AD566C">
        <w:trPr>
          <w:trHeight w:val="432"/>
          <w:tblHeader/>
        </w:trPr>
        <w:tc>
          <w:tcPr>
            <w:tcW w:w="3334" w:type="dxa"/>
            <w:shd w:val="clear" w:color="auto" w:fill="4DA3AB" w:themeFill="accent1"/>
          </w:tcPr>
          <w:p w14:paraId="5313C68F" w14:textId="77777777" w:rsidR="005F6814" w:rsidRPr="009A4425" w:rsidRDefault="005F6814" w:rsidP="005F6814">
            <w:pPr>
              <w:rPr>
                <w:b/>
                <w:sz w:val="24"/>
                <w:szCs w:val="24"/>
              </w:rPr>
            </w:pPr>
            <w:bookmarkStart w:id="1531" w:name="_Toc169536919"/>
            <w:r w:rsidRPr="009A4425">
              <w:rPr>
                <w:b/>
                <w:sz w:val="24"/>
                <w:szCs w:val="24"/>
              </w:rPr>
              <w:t>Action</w:t>
            </w:r>
          </w:p>
        </w:tc>
        <w:tc>
          <w:tcPr>
            <w:tcW w:w="1472" w:type="dxa"/>
            <w:shd w:val="clear" w:color="auto" w:fill="4DA3AB" w:themeFill="accent1"/>
          </w:tcPr>
          <w:p w14:paraId="1BE5CC29" w14:textId="7649BEE8" w:rsidR="005F6814" w:rsidRPr="009A4425" w:rsidRDefault="00D537F9" w:rsidP="005F6814">
            <w:pPr>
              <w:rPr>
                <w:b/>
                <w:sz w:val="24"/>
                <w:szCs w:val="24"/>
              </w:rPr>
            </w:pPr>
            <w:r>
              <w:rPr>
                <w:b/>
                <w:sz w:val="24"/>
                <w:szCs w:val="24"/>
              </w:rPr>
              <w:t xml:space="preserve">Status </w:t>
            </w:r>
          </w:p>
        </w:tc>
        <w:tc>
          <w:tcPr>
            <w:tcW w:w="4254" w:type="dxa"/>
            <w:shd w:val="clear" w:color="auto" w:fill="4DA3AB" w:themeFill="accent1"/>
          </w:tcPr>
          <w:p w14:paraId="59D5F86A"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10FA163C" w14:textId="77777777" w:rsidTr="21358F23">
        <w:trPr>
          <w:trHeight w:val="2199"/>
        </w:trPr>
        <w:tc>
          <w:tcPr>
            <w:tcW w:w="3334" w:type="dxa"/>
            <w:shd w:val="clear" w:color="auto" w:fill="auto"/>
          </w:tcPr>
          <w:p w14:paraId="44F6E48F" w14:textId="77777777" w:rsidR="005F6814" w:rsidRDefault="005F6814" w:rsidP="005F6814">
            <w:r>
              <w:rPr>
                <w:b/>
              </w:rPr>
              <w:t>(</w:t>
            </w:r>
            <w:r w:rsidRPr="00F80EBD">
              <w:rPr>
                <w:b/>
              </w:rPr>
              <w:t>Minimum standard)</w:t>
            </w:r>
            <w:r>
              <w:t xml:space="preserve"> </w:t>
            </w:r>
            <w:r w:rsidRPr="004B4DED">
              <w:t>Understanding the pay gap</w:t>
            </w:r>
            <w:r>
              <w:t>.</w:t>
            </w:r>
          </w:p>
          <w:p w14:paraId="4EAB2468" w14:textId="77777777" w:rsidR="005F6814" w:rsidRDefault="005F6814" w:rsidP="00F9645E">
            <w:pPr>
              <w:pStyle w:val="BulletLevel1"/>
              <w:numPr>
                <w:ilvl w:val="0"/>
                <w:numId w:val="44"/>
              </w:numPr>
            </w:pPr>
            <w:r w:rsidRPr="0072219F">
              <w:rPr>
                <w:color w:val="auto"/>
              </w:rPr>
              <w:t xml:space="preserve">Agency-level </w:t>
            </w:r>
            <w:r w:rsidRPr="0072219F">
              <w:rPr>
                <w:rFonts w:cs="HelveticaNeueLT Pro 57 Cn"/>
                <w:color w:val="auto"/>
                <w:szCs w:val="20"/>
              </w:rPr>
              <w:t xml:space="preserve">gender pay gap is known and tracked (at both whole of agency and classification level). </w:t>
            </w:r>
          </w:p>
        </w:tc>
        <w:tc>
          <w:tcPr>
            <w:tcW w:w="1472" w:type="dxa"/>
            <w:shd w:val="clear" w:color="auto" w:fill="auto"/>
          </w:tcPr>
          <w:p w14:paraId="16A082A6" w14:textId="78CC1950" w:rsidR="005F6814" w:rsidRPr="00CB1F5C" w:rsidRDefault="1A090C06" w:rsidP="21358F23">
            <w:pPr>
              <w:rPr>
                <w:b/>
                <w:bCs/>
              </w:rPr>
            </w:pPr>
            <w:r w:rsidRPr="21358F23">
              <w:rPr>
                <w:b/>
                <w:bCs/>
              </w:rPr>
              <w:t>Achieved</w:t>
            </w:r>
          </w:p>
          <w:p w14:paraId="26C0DE1E" w14:textId="77777777" w:rsidR="005F6814" w:rsidRPr="00CB1F5C" w:rsidRDefault="005F6814" w:rsidP="005F6814">
            <w:pPr>
              <w:rPr>
                <w:b/>
              </w:rPr>
            </w:pPr>
          </w:p>
          <w:p w14:paraId="5015E722" w14:textId="77777777" w:rsidR="005F6814" w:rsidRPr="00CB1F5C" w:rsidRDefault="005F6814" w:rsidP="005F6814">
            <w:pPr>
              <w:rPr>
                <w:b/>
              </w:rPr>
            </w:pPr>
          </w:p>
          <w:p w14:paraId="7350F311" w14:textId="77777777" w:rsidR="005F6814" w:rsidRPr="00CB1F5C" w:rsidRDefault="005F6814" w:rsidP="005F6814">
            <w:pPr>
              <w:rPr>
                <w:b/>
              </w:rPr>
            </w:pPr>
          </w:p>
        </w:tc>
        <w:tc>
          <w:tcPr>
            <w:tcW w:w="4254" w:type="dxa"/>
            <w:shd w:val="clear" w:color="auto" w:fill="auto"/>
          </w:tcPr>
          <w:p w14:paraId="7B608267" w14:textId="6C2FD9CB" w:rsidR="00D12BDC" w:rsidRDefault="00D12BDC" w:rsidP="00F9645E">
            <w:pPr>
              <w:pStyle w:val="BulletLevel1"/>
              <w:numPr>
                <w:ilvl w:val="0"/>
                <w:numId w:val="37"/>
              </w:numPr>
              <w:spacing w:before="0"/>
              <w:ind w:left="357"/>
            </w:pPr>
            <w:r>
              <w:t>The APSC has sent all agencies an annual Remuneration Report providing gender pay gap figures at both agency and classification levels since 2018.</w:t>
            </w:r>
          </w:p>
          <w:p w14:paraId="587F2D92" w14:textId="1D0F9F57" w:rsidR="005F6814" w:rsidRDefault="005F6814" w:rsidP="00F9645E">
            <w:pPr>
              <w:pStyle w:val="BulletLevel1"/>
              <w:numPr>
                <w:ilvl w:val="0"/>
                <w:numId w:val="37"/>
              </w:numPr>
              <w:spacing w:before="0"/>
              <w:ind w:left="357"/>
            </w:pPr>
            <w:r>
              <w:t xml:space="preserve">52% of agencies had analysed drivers of their gender pay gap or this was underway, 20% were planning to, </w:t>
            </w:r>
            <w:r w:rsidR="00F62439">
              <w:t xml:space="preserve">and </w:t>
            </w:r>
            <w:r>
              <w:t>28% had no analysis planned.</w:t>
            </w:r>
          </w:p>
          <w:p w14:paraId="10054E50" w14:textId="5FA2D784" w:rsidR="00020986" w:rsidRDefault="005F6814" w:rsidP="00F9645E">
            <w:pPr>
              <w:pStyle w:val="BulletLevel1"/>
              <w:numPr>
                <w:ilvl w:val="0"/>
                <w:numId w:val="37"/>
              </w:numPr>
              <w:spacing w:before="0"/>
              <w:ind w:left="357"/>
            </w:pPr>
            <w:r>
              <w:t xml:space="preserve">The </w:t>
            </w:r>
            <w:r w:rsidR="00F62439">
              <w:t xml:space="preserve">APS </w:t>
            </w:r>
            <w:r>
              <w:t xml:space="preserve">Gender Pay Gap had continued to decline </w:t>
            </w:r>
            <w:r w:rsidR="00F62439">
              <w:t xml:space="preserve">from 6.0% in </w:t>
            </w:r>
            <w:r>
              <w:t>2021</w:t>
            </w:r>
            <w:r w:rsidR="00F62439">
              <w:t xml:space="preserve"> to 4.5% in </w:t>
            </w:r>
            <w:r>
              <w:t xml:space="preserve">2023. </w:t>
            </w:r>
          </w:p>
          <w:p w14:paraId="22041082" w14:textId="3A6356CA" w:rsidR="00020986" w:rsidRDefault="00020986" w:rsidP="006E644B">
            <w:pPr>
              <w:pStyle w:val="BulletLevel1"/>
              <w:spacing w:before="0"/>
              <w:ind w:left="357" w:firstLine="0"/>
            </w:pPr>
          </w:p>
        </w:tc>
      </w:tr>
      <w:tr w:rsidR="005F6814" w14:paraId="4B9F0244" w14:textId="77777777" w:rsidTr="21358F23">
        <w:trPr>
          <w:trHeight w:val="1990"/>
        </w:trPr>
        <w:tc>
          <w:tcPr>
            <w:tcW w:w="3334" w:type="dxa"/>
            <w:shd w:val="clear" w:color="auto" w:fill="auto"/>
          </w:tcPr>
          <w:p w14:paraId="6533A874" w14:textId="77777777" w:rsidR="005F6814" w:rsidRDefault="005F6814" w:rsidP="005F6814">
            <w:pPr>
              <w:rPr>
                <w:b/>
              </w:rPr>
            </w:pPr>
            <w:r>
              <w:rPr>
                <w:b/>
              </w:rPr>
              <w:t>(</w:t>
            </w:r>
            <w:r w:rsidRPr="00F80EBD">
              <w:rPr>
                <w:b/>
              </w:rPr>
              <w:t>Minimum standard)</w:t>
            </w:r>
            <w:r>
              <w:rPr>
                <w:b/>
              </w:rPr>
              <w:t xml:space="preserve"> </w:t>
            </w:r>
            <w:r w:rsidRPr="004B4DED">
              <w:t>Tracking data on gender composition</w:t>
            </w:r>
            <w:r>
              <w:t>.</w:t>
            </w:r>
          </w:p>
          <w:p w14:paraId="73CCF6B9" w14:textId="77777777" w:rsidR="005F6814" w:rsidRPr="006E644B" w:rsidRDefault="005F6814" w:rsidP="00F9645E">
            <w:pPr>
              <w:pStyle w:val="BulletLevel1"/>
              <w:numPr>
                <w:ilvl w:val="0"/>
                <w:numId w:val="44"/>
              </w:numPr>
            </w:pPr>
            <w:r w:rsidRPr="0072219F">
              <w:rPr>
                <w:color w:val="auto"/>
              </w:rPr>
              <w:t xml:space="preserve">Gender disaggregated data </w:t>
            </w:r>
            <w:r w:rsidRPr="0072219F">
              <w:rPr>
                <w:rFonts w:cs="HelveticaNeueLT Pro 57 Cn"/>
                <w:color w:val="auto"/>
                <w:szCs w:val="20"/>
              </w:rPr>
              <w:t>across all classifications, geographical locations and key job types is tracked.</w:t>
            </w:r>
          </w:p>
          <w:p w14:paraId="09D24DE0" w14:textId="03231443" w:rsidR="005F6814" w:rsidRPr="00271BBF" w:rsidRDefault="005F6814" w:rsidP="006E644B">
            <w:pPr>
              <w:pStyle w:val="BulletLevel1"/>
              <w:ind w:left="360" w:firstLine="0"/>
            </w:pPr>
          </w:p>
        </w:tc>
        <w:tc>
          <w:tcPr>
            <w:tcW w:w="1472" w:type="dxa"/>
            <w:shd w:val="clear" w:color="auto" w:fill="auto"/>
          </w:tcPr>
          <w:p w14:paraId="640234C8" w14:textId="77777777" w:rsidR="005F6814" w:rsidRPr="00CB1F5C" w:rsidRDefault="005F6814" w:rsidP="005F6814">
            <w:pPr>
              <w:rPr>
                <w:b/>
              </w:rPr>
            </w:pPr>
            <w:r>
              <w:rPr>
                <w:b/>
              </w:rPr>
              <w:t>Progress made</w:t>
            </w:r>
          </w:p>
        </w:tc>
        <w:tc>
          <w:tcPr>
            <w:tcW w:w="4254" w:type="dxa"/>
            <w:shd w:val="clear" w:color="auto" w:fill="auto"/>
          </w:tcPr>
          <w:p w14:paraId="1C0B3DEF" w14:textId="77777777" w:rsidR="00FD38A1" w:rsidRDefault="00FD38A1" w:rsidP="00F9645E">
            <w:pPr>
              <w:pStyle w:val="BulletLevel1"/>
              <w:numPr>
                <w:ilvl w:val="0"/>
                <w:numId w:val="37"/>
              </w:numPr>
              <w:spacing w:before="0"/>
              <w:ind w:left="357"/>
              <w:rPr>
                <w:color w:val="auto"/>
              </w:rPr>
            </w:pPr>
            <w:r>
              <w:rPr>
                <w:color w:val="auto"/>
              </w:rPr>
              <w:t>92% of a</w:t>
            </w:r>
            <w:r w:rsidR="005F6814" w:rsidRPr="00020986">
              <w:rPr>
                <w:color w:val="auto"/>
              </w:rPr>
              <w:t>gencies reported that they track gender disaggregated</w:t>
            </w:r>
            <w:r>
              <w:rPr>
                <w:color w:val="auto"/>
              </w:rPr>
              <w:t xml:space="preserve"> data across classifications.</w:t>
            </w:r>
          </w:p>
          <w:p w14:paraId="53D0A301" w14:textId="77777777" w:rsidR="00FD38A1" w:rsidRDefault="00FD38A1" w:rsidP="00F9645E">
            <w:pPr>
              <w:pStyle w:val="BulletLevel1"/>
              <w:numPr>
                <w:ilvl w:val="0"/>
                <w:numId w:val="37"/>
              </w:numPr>
              <w:spacing w:before="0"/>
              <w:ind w:left="357"/>
              <w:rPr>
                <w:color w:val="auto"/>
              </w:rPr>
            </w:pPr>
            <w:r>
              <w:rPr>
                <w:color w:val="auto"/>
              </w:rPr>
              <w:t>72% track across</w:t>
            </w:r>
            <w:r w:rsidR="005F6814" w:rsidRPr="00020986">
              <w:rPr>
                <w:color w:val="auto"/>
              </w:rPr>
              <w:t xml:space="preserve"> geographical locations</w:t>
            </w:r>
            <w:r>
              <w:rPr>
                <w:color w:val="auto"/>
              </w:rPr>
              <w:t>.</w:t>
            </w:r>
          </w:p>
          <w:p w14:paraId="43AFD584" w14:textId="5137F3FE" w:rsidR="005F6814" w:rsidRPr="00020986" w:rsidRDefault="00FD38A1" w:rsidP="00F9645E">
            <w:pPr>
              <w:pStyle w:val="BulletLevel1"/>
              <w:numPr>
                <w:ilvl w:val="0"/>
                <w:numId w:val="37"/>
              </w:numPr>
              <w:spacing w:before="0"/>
              <w:ind w:left="357"/>
              <w:rPr>
                <w:color w:val="auto"/>
              </w:rPr>
            </w:pPr>
            <w:r>
              <w:rPr>
                <w:color w:val="auto"/>
              </w:rPr>
              <w:t xml:space="preserve">62% track across </w:t>
            </w:r>
            <w:r w:rsidR="005F6814" w:rsidRPr="00020986">
              <w:rPr>
                <w:color w:val="auto"/>
              </w:rPr>
              <w:t>job types.</w:t>
            </w:r>
          </w:p>
        </w:tc>
      </w:tr>
      <w:tr w:rsidR="005F6814" w14:paraId="76ADF2BE" w14:textId="77777777" w:rsidTr="21358F23">
        <w:trPr>
          <w:trHeight w:val="4937"/>
        </w:trPr>
        <w:tc>
          <w:tcPr>
            <w:tcW w:w="3334" w:type="dxa"/>
            <w:shd w:val="clear" w:color="auto" w:fill="auto"/>
          </w:tcPr>
          <w:p w14:paraId="2E26D853" w14:textId="77777777" w:rsidR="005F6814" w:rsidRPr="00BC54CB" w:rsidRDefault="005F6814" w:rsidP="005F6814">
            <w:r>
              <w:rPr>
                <w:b/>
              </w:rPr>
              <w:t xml:space="preserve">5A </w:t>
            </w:r>
            <w:r w:rsidRPr="0072219F">
              <w:rPr>
                <w:rFonts w:cs="HelveticaNeueLT Pro 57 Cn"/>
                <w:color w:val="auto"/>
                <w:szCs w:val="20"/>
              </w:rPr>
              <w:t>Agencies will progressively build their capacity and capability to collect, analyse and publish (internally) gender disaggregated data across all people-metrics. Agencies will collect and publish (internally) data disaggregated by other diversity and inclusion variables. This information will support agencies to better target their gender equality initiatives</w:t>
            </w:r>
            <w:r>
              <w:rPr>
                <w:rFonts w:cs="HelveticaNeueLT Pro 57 Cn"/>
                <w:color w:val="221E1F"/>
                <w:szCs w:val="20"/>
              </w:rPr>
              <w:t>.</w:t>
            </w:r>
          </w:p>
        </w:tc>
        <w:tc>
          <w:tcPr>
            <w:tcW w:w="1472" w:type="dxa"/>
            <w:shd w:val="clear" w:color="auto" w:fill="auto"/>
          </w:tcPr>
          <w:p w14:paraId="2345B807" w14:textId="77777777" w:rsidR="005F6814" w:rsidRPr="00CB1F5C" w:rsidRDefault="005F6814" w:rsidP="005F6814">
            <w:pPr>
              <w:rPr>
                <w:b/>
              </w:rPr>
            </w:pPr>
            <w:r>
              <w:rPr>
                <w:b/>
              </w:rPr>
              <w:t>Progress made</w:t>
            </w:r>
          </w:p>
        </w:tc>
        <w:tc>
          <w:tcPr>
            <w:tcW w:w="4254" w:type="dxa"/>
            <w:shd w:val="clear" w:color="auto" w:fill="auto"/>
          </w:tcPr>
          <w:p w14:paraId="44B1B025" w14:textId="77777777" w:rsidR="005F6814" w:rsidRPr="00020986" w:rsidRDefault="005F6814" w:rsidP="00F9645E">
            <w:pPr>
              <w:pStyle w:val="BulletLevel1"/>
              <w:numPr>
                <w:ilvl w:val="0"/>
                <w:numId w:val="37"/>
              </w:numPr>
              <w:spacing w:before="0"/>
              <w:ind w:left="357"/>
              <w:rPr>
                <w:color w:val="auto"/>
              </w:rPr>
            </w:pPr>
            <w:r w:rsidRPr="00020986">
              <w:rPr>
                <w:color w:val="auto"/>
              </w:rPr>
              <w:t>Since the launch of the Strategy, 60% of agencies indicated that they have increased their capability to collect and analyse high-level gender data.</w:t>
            </w:r>
          </w:p>
          <w:p w14:paraId="6FBF5FD8" w14:textId="77777777" w:rsidR="005F6814" w:rsidRPr="00020986" w:rsidRDefault="005F6814" w:rsidP="00F9645E">
            <w:pPr>
              <w:pStyle w:val="BulletLevel1"/>
              <w:numPr>
                <w:ilvl w:val="0"/>
                <w:numId w:val="37"/>
              </w:numPr>
              <w:spacing w:before="0"/>
              <w:ind w:left="357"/>
              <w:rPr>
                <w:color w:val="auto"/>
              </w:rPr>
            </w:pPr>
            <w:r w:rsidRPr="00020986">
              <w:rPr>
                <w:color w:val="auto"/>
              </w:rPr>
              <w:t xml:space="preserve">Agencies reported they collect and internally publish gender disaggregated data by:  </w:t>
            </w:r>
          </w:p>
          <w:p w14:paraId="1A84FD11" w14:textId="3DC501FF" w:rsidR="005F6814" w:rsidRDefault="005F6814" w:rsidP="00F9645E">
            <w:pPr>
              <w:pStyle w:val="BulletLevel1"/>
              <w:numPr>
                <w:ilvl w:val="1"/>
                <w:numId w:val="37"/>
              </w:numPr>
              <w:spacing w:before="0"/>
              <w:rPr>
                <w:color w:val="auto"/>
              </w:rPr>
            </w:pPr>
            <w:r w:rsidRPr="00020986">
              <w:rPr>
                <w:color w:val="auto"/>
              </w:rPr>
              <w:t>First Nations (94% collect, 60% publish)</w:t>
            </w:r>
          </w:p>
          <w:p w14:paraId="03961600" w14:textId="0F87E42D" w:rsidR="005B2B3B" w:rsidRPr="00020986" w:rsidRDefault="005B2B3B" w:rsidP="00F9645E">
            <w:pPr>
              <w:pStyle w:val="BulletLevel1"/>
              <w:numPr>
                <w:ilvl w:val="1"/>
                <w:numId w:val="37"/>
              </w:numPr>
              <w:spacing w:before="0"/>
              <w:rPr>
                <w:color w:val="auto"/>
              </w:rPr>
            </w:pPr>
            <w:r>
              <w:rPr>
                <w:color w:val="auto"/>
              </w:rPr>
              <w:t>Disability status (92</w:t>
            </w:r>
            <w:r w:rsidRPr="00020986">
              <w:rPr>
                <w:color w:val="auto"/>
              </w:rPr>
              <w:t>% collect, 58% publish)</w:t>
            </w:r>
          </w:p>
          <w:p w14:paraId="7AED3277" w14:textId="25AD8539" w:rsidR="005F6814" w:rsidRPr="00020986" w:rsidRDefault="00EA4DF8" w:rsidP="00F9645E">
            <w:pPr>
              <w:pStyle w:val="BulletLevel1"/>
              <w:numPr>
                <w:ilvl w:val="1"/>
                <w:numId w:val="37"/>
              </w:numPr>
              <w:spacing w:before="0"/>
              <w:rPr>
                <w:color w:val="auto"/>
              </w:rPr>
            </w:pPr>
            <w:r>
              <w:rPr>
                <w:color w:val="auto"/>
              </w:rPr>
              <w:t>C</w:t>
            </w:r>
            <w:r w:rsidR="005F6814" w:rsidRPr="00020986">
              <w:rPr>
                <w:color w:val="auto"/>
              </w:rPr>
              <w:t xml:space="preserve">ulturally and linguistically diverse </w:t>
            </w:r>
            <w:r w:rsidR="003A0B5C">
              <w:rPr>
                <w:color w:val="auto"/>
              </w:rPr>
              <w:t xml:space="preserve">(CALD) </w:t>
            </w:r>
            <w:r w:rsidR="005B2B3B">
              <w:rPr>
                <w:color w:val="auto"/>
              </w:rPr>
              <w:t xml:space="preserve">status </w:t>
            </w:r>
            <w:r w:rsidR="005F6814" w:rsidRPr="00020986">
              <w:rPr>
                <w:color w:val="auto"/>
              </w:rPr>
              <w:t xml:space="preserve">(90% collect, 58% publish). </w:t>
            </w:r>
          </w:p>
          <w:p w14:paraId="1EF1227C" w14:textId="5E5CA92A" w:rsidR="005F6814" w:rsidRDefault="00EA4DF8" w:rsidP="00F9645E">
            <w:pPr>
              <w:pStyle w:val="BulletLevel1"/>
              <w:numPr>
                <w:ilvl w:val="1"/>
                <w:numId w:val="37"/>
              </w:numPr>
              <w:spacing w:before="0"/>
              <w:rPr>
                <w:color w:val="auto"/>
              </w:rPr>
            </w:pPr>
            <w:r>
              <w:rPr>
                <w:color w:val="auto"/>
              </w:rPr>
              <w:t>O</w:t>
            </w:r>
            <w:r w:rsidR="005F6814" w:rsidRPr="00020986">
              <w:rPr>
                <w:color w:val="auto"/>
              </w:rPr>
              <w:t xml:space="preserve">ther diversity and inclusion metrics (51% collect, 39% publish). </w:t>
            </w:r>
          </w:p>
          <w:p w14:paraId="78B5EF65" w14:textId="63AA7FAE" w:rsidR="005F6814" w:rsidRPr="00020986" w:rsidRDefault="005F6814" w:rsidP="006E644B">
            <w:pPr>
              <w:pStyle w:val="BulletLevel1"/>
              <w:spacing w:before="0"/>
              <w:ind w:left="1080" w:firstLine="0"/>
              <w:rPr>
                <w:color w:val="auto"/>
              </w:rPr>
            </w:pPr>
          </w:p>
        </w:tc>
      </w:tr>
      <w:tr w:rsidR="005F6814" w14:paraId="57723AF5" w14:textId="77777777" w:rsidTr="21358F23">
        <w:trPr>
          <w:trHeight w:val="2394"/>
        </w:trPr>
        <w:tc>
          <w:tcPr>
            <w:tcW w:w="3334" w:type="dxa"/>
            <w:shd w:val="clear" w:color="auto" w:fill="auto"/>
          </w:tcPr>
          <w:p w14:paraId="0A466960" w14:textId="1E194F35" w:rsidR="005F6814" w:rsidRPr="005A54EE" w:rsidRDefault="005F6814" w:rsidP="005F6814">
            <w:pPr>
              <w:rPr>
                <w:rFonts w:cs="HelveticaNeueLT Pro 57 Cn"/>
                <w:color w:val="auto"/>
                <w:szCs w:val="20"/>
              </w:rPr>
            </w:pPr>
            <w:r>
              <w:rPr>
                <w:b/>
              </w:rPr>
              <w:lastRenderedPageBreak/>
              <w:t>5B</w:t>
            </w:r>
            <w:r>
              <w:t xml:space="preserve"> </w:t>
            </w:r>
            <w:r w:rsidRPr="005A54EE">
              <w:rPr>
                <w:rFonts w:cs="HelveticaNeueLT Pro 57 Cn"/>
                <w:color w:val="auto"/>
                <w:szCs w:val="20"/>
              </w:rPr>
              <w:t xml:space="preserve">Agencies will review their policies and processes for entering into an Individual Flexibility </w:t>
            </w:r>
            <w:r w:rsidR="00C33A57" w:rsidRPr="005A54EE">
              <w:rPr>
                <w:rFonts w:cs="HelveticaNeueLT Pro 57 Cn"/>
                <w:color w:val="auto"/>
                <w:szCs w:val="20"/>
              </w:rPr>
              <w:t>Arrangement</w:t>
            </w:r>
            <w:r w:rsidRPr="005A54EE">
              <w:rPr>
                <w:rFonts w:cs="HelveticaNeueLT Pro 57 Cn"/>
                <w:color w:val="auto"/>
                <w:szCs w:val="20"/>
              </w:rPr>
              <w:t xml:space="preserve"> (IFA) with an employee to ensure there is equality of opportunity (a level playing field) for all genders. This will include reviewing the number of current IFAs by gender. Agencies will implement any necessary changes to the process and monitor impact.</w:t>
            </w:r>
          </w:p>
          <w:p w14:paraId="4A452F36" w14:textId="77777777" w:rsidR="005F6814" w:rsidRPr="005A54EE" w:rsidRDefault="005F6814" w:rsidP="005F6814">
            <w:pPr>
              <w:rPr>
                <w:rFonts w:cs="HelveticaNeueLT Pro 57 Cn"/>
                <w:color w:val="auto"/>
                <w:szCs w:val="20"/>
              </w:rPr>
            </w:pPr>
          </w:p>
          <w:p w14:paraId="74E327AD" w14:textId="77777777" w:rsidR="006E644B" w:rsidRDefault="005F6814" w:rsidP="005F6814">
            <w:pPr>
              <w:rPr>
                <w:rFonts w:cs="HelveticaNeueLT Pro 57 Cn"/>
                <w:color w:val="auto"/>
                <w:szCs w:val="20"/>
              </w:rPr>
            </w:pPr>
            <w:r w:rsidRPr="005A54EE">
              <w:rPr>
                <w:rFonts w:cs="HelveticaNeueLT Pro 57 Cn"/>
                <w:color w:val="auto"/>
                <w:szCs w:val="20"/>
              </w:rPr>
              <w:t xml:space="preserve">The IFA review will focus on the process to develop IFAs, rather than the specifics of an IFA. The APSC will look to include an agency breakdown on IFAs in agency annual remuneration reports. </w:t>
            </w:r>
          </w:p>
          <w:p w14:paraId="5B311251" w14:textId="160264D6" w:rsidR="005F6814" w:rsidRPr="006E644B" w:rsidRDefault="005F6814" w:rsidP="005F6814">
            <w:pPr>
              <w:rPr>
                <w:rFonts w:cs="HelveticaNeueLT Pro 57 Cn"/>
                <w:color w:val="auto"/>
                <w:szCs w:val="20"/>
              </w:rPr>
            </w:pPr>
          </w:p>
        </w:tc>
        <w:tc>
          <w:tcPr>
            <w:tcW w:w="1472" w:type="dxa"/>
            <w:shd w:val="clear" w:color="auto" w:fill="auto"/>
          </w:tcPr>
          <w:p w14:paraId="04989641" w14:textId="4720C7B3" w:rsidR="005F6814" w:rsidRPr="00CB1F5C" w:rsidRDefault="00066707" w:rsidP="005F6814">
            <w:pPr>
              <w:rPr>
                <w:b/>
              </w:rPr>
            </w:pPr>
            <w:r>
              <w:rPr>
                <w:b/>
              </w:rPr>
              <w:t>Improvement needed</w:t>
            </w:r>
          </w:p>
        </w:tc>
        <w:tc>
          <w:tcPr>
            <w:tcW w:w="4254" w:type="dxa"/>
            <w:shd w:val="clear" w:color="auto" w:fill="auto"/>
          </w:tcPr>
          <w:p w14:paraId="6CC8F382" w14:textId="5AA5262A" w:rsidR="005F6814" w:rsidRPr="00020986" w:rsidRDefault="005F6814" w:rsidP="00F9645E">
            <w:pPr>
              <w:pStyle w:val="BulletLevel1"/>
              <w:numPr>
                <w:ilvl w:val="0"/>
                <w:numId w:val="37"/>
              </w:numPr>
              <w:spacing w:before="0"/>
              <w:rPr>
                <w:color w:val="auto"/>
              </w:rPr>
            </w:pPr>
            <w:r w:rsidRPr="0090253A">
              <w:t>The t</w:t>
            </w:r>
            <w:r w:rsidRPr="00020986">
              <w:rPr>
                <w:color w:val="auto"/>
              </w:rPr>
              <w:t>otal n</w:t>
            </w:r>
            <w:r w:rsidR="00DF0899">
              <w:rPr>
                <w:color w:val="auto"/>
              </w:rPr>
              <w:t>umber of IFAs in place was 4,850</w:t>
            </w:r>
            <w:r w:rsidRPr="00020986">
              <w:rPr>
                <w:color w:val="auto"/>
              </w:rPr>
              <w:t xml:space="preserve"> in 2023, </w:t>
            </w:r>
            <w:r w:rsidR="00BE41C8" w:rsidRPr="00BE41C8">
              <w:rPr>
                <w:color w:val="auto"/>
              </w:rPr>
              <w:t>an increase of 53% compared to 2021</w:t>
            </w:r>
            <w:r w:rsidR="008902CA">
              <w:rPr>
                <w:color w:val="auto"/>
              </w:rPr>
              <w:t>.</w:t>
            </w:r>
          </w:p>
          <w:p w14:paraId="7432AF65" w14:textId="644993E2" w:rsidR="005F6814" w:rsidRPr="00020986" w:rsidRDefault="00DB38BF" w:rsidP="00F9645E">
            <w:pPr>
              <w:pStyle w:val="BulletLevel1"/>
              <w:numPr>
                <w:ilvl w:val="0"/>
                <w:numId w:val="37"/>
              </w:numPr>
              <w:spacing w:before="0"/>
              <w:ind w:left="357"/>
              <w:rPr>
                <w:color w:val="auto"/>
              </w:rPr>
            </w:pPr>
            <w:r>
              <w:rPr>
                <w:color w:val="auto"/>
              </w:rPr>
              <w:t>In 2023, 3.7</w:t>
            </w:r>
            <w:r w:rsidR="005F6814" w:rsidRPr="00020986">
              <w:rPr>
                <w:color w:val="auto"/>
              </w:rPr>
              <w:t xml:space="preserve">% </w:t>
            </w:r>
            <w:r w:rsidR="002E2FE5">
              <w:rPr>
                <w:color w:val="auto"/>
              </w:rPr>
              <w:t xml:space="preserve">of </w:t>
            </w:r>
            <w:r w:rsidR="00EA4DF8">
              <w:rPr>
                <w:color w:val="auto"/>
              </w:rPr>
              <w:t xml:space="preserve">male </w:t>
            </w:r>
            <w:r w:rsidR="008902CA">
              <w:rPr>
                <w:color w:val="auto"/>
              </w:rPr>
              <w:t>employees</w:t>
            </w:r>
            <w:r w:rsidR="002E2FE5">
              <w:rPr>
                <w:color w:val="auto"/>
              </w:rPr>
              <w:t>,</w:t>
            </w:r>
            <w:r w:rsidR="00F4078A">
              <w:rPr>
                <w:color w:val="auto"/>
              </w:rPr>
              <w:t xml:space="preserve"> 2.4% of </w:t>
            </w:r>
            <w:r w:rsidR="00EA4DF8">
              <w:rPr>
                <w:color w:val="auto"/>
              </w:rPr>
              <w:t xml:space="preserve">female </w:t>
            </w:r>
            <w:r w:rsidR="008902CA">
              <w:rPr>
                <w:color w:val="auto"/>
              </w:rPr>
              <w:t>employees</w:t>
            </w:r>
            <w:r w:rsidR="00F4078A">
              <w:rPr>
                <w:color w:val="auto"/>
              </w:rPr>
              <w:t xml:space="preserve">, </w:t>
            </w:r>
            <w:r w:rsidR="002E2FE5">
              <w:rPr>
                <w:color w:val="auto"/>
              </w:rPr>
              <w:t xml:space="preserve">and </w:t>
            </w:r>
            <w:r w:rsidR="00665934">
              <w:rPr>
                <w:color w:val="auto"/>
              </w:rPr>
              <w:t xml:space="preserve">0.7% </w:t>
            </w:r>
            <w:r w:rsidR="005F6814" w:rsidRPr="00020986">
              <w:rPr>
                <w:color w:val="auto"/>
              </w:rPr>
              <w:t>of non-bina</w:t>
            </w:r>
            <w:r w:rsidR="002E2FE5">
              <w:rPr>
                <w:color w:val="auto"/>
              </w:rPr>
              <w:t>ry employees had an IFA.</w:t>
            </w:r>
            <w:r w:rsidR="00D1650C" w:rsidRPr="00020986">
              <w:rPr>
                <w:color w:val="auto"/>
              </w:rPr>
              <w:t xml:space="preserve"> </w:t>
            </w:r>
          </w:p>
          <w:p w14:paraId="61A0B38A" w14:textId="77777777" w:rsidR="00314690" w:rsidRPr="00CB5FD8" w:rsidRDefault="005F6814" w:rsidP="00F9645E">
            <w:pPr>
              <w:pStyle w:val="BulletLevel1"/>
              <w:numPr>
                <w:ilvl w:val="0"/>
                <w:numId w:val="37"/>
              </w:numPr>
              <w:spacing w:before="0"/>
              <w:ind w:left="357"/>
            </w:pPr>
            <w:r w:rsidRPr="00020986">
              <w:rPr>
                <w:color w:val="auto"/>
              </w:rPr>
              <w:t>The APSC has included IFA information disaggregated by gender as part of the Individual Agency Remuneration Reports for 2023.</w:t>
            </w:r>
          </w:p>
          <w:p w14:paraId="577FA88E" w14:textId="4F7011BC" w:rsidR="009E7CCE" w:rsidRDefault="006F686C" w:rsidP="00F9645E">
            <w:pPr>
              <w:pStyle w:val="BulletLevel1"/>
              <w:numPr>
                <w:ilvl w:val="0"/>
                <w:numId w:val="37"/>
              </w:numPr>
              <w:spacing w:before="0"/>
            </w:pPr>
            <w:r w:rsidRPr="009E7CCE">
              <w:t xml:space="preserve">Future analysis will investigate whether </w:t>
            </w:r>
            <w:r>
              <w:t xml:space="preserve">IFA usage </w:t>
            </w:r>
            <w:r w:rsidRPr="009E7CCE">
              <w:t>differences are caused by occupational factors, such as male employees being more prevalent within in-demand occupations.</w:t>
            </w:r>
          </w:p>
        </w:tc>
      </w:tr>
      <w:tr w:rsidR="005F6814" w14:paraId="2B078306" w14:textId="77777777" w:rsidTr="21358F23">
        <w:trPr>
          <w:trHeight w:val="3830"/>
        </w:trPr>
        <w:tc>
          <w:tcPr>
            <w:tcW w:w="3334" w:type="dxa"/>
            <w:shd w:val="clear" w:color="auto" w:fill="auto"/>
          </w:tcPr>
          <w:p w14:paraId="544CAE02" w14:textId="77777777" w:rsidR="005F6814" w:rsidRPr="00BC54CB" w:rsidRDefault="005F6814" w:rsidP="005F6814">
            <w:r w:rsidRPr="00BC54CB">
              <w:rPr>
                <w:b/>
              </w:rPr>
              <w:t>5C</w:t>
            </w:r>
            <w:r>
              <w:t xml:space="preserve"> The APSC, in collaboration with APS agencies, will develop a strategic research plan to better understand gender dynamics in the APS workforce. Priority research projects identified in the research plan should leverage the socio-demographic data and workforce information held by the APSC, including through research partnerships with the academic community.</w:t>
            </w:r>
          </w:p>
        </w:tc>
        <w:tc>
          <w:tcPr>
            <w:tcW w:w="1472" w:type="dxa"/>
            <w:shd w:val="clear" w:color="auto" w:fill="auto"/>
          </w:tcPr>
          <w:p w14:paraId="1CBC56E0" w14:textId="77777777" w:rsidR="005F6814" w:rsidRPr="00CB1F5C" w:rsidRDefault="005F6814" w:rsidP="005F6814">
            <w:pPr>
              <w:rPr>
                <w:b/>
              </w:rPr>
            </w:pPr>
            <w:r>
              <w:rPr>
                <w:b/>
              </w:rPr>
              <w:t>Progress made</w:t>
            </w:r>
          </w:p>
        </w:tc>
        <w:tc>
          <w:tcPr>
            <w:tcW w:w="4254" w:type="dxa"/>
            <w:shd w:val="clear" w:color="auto" w:fill="auto"/>
          </w:tcPr>
          <w:p w14:paraId="50348ABB" w14:textId="3DE42807" w:rsidR="00A50022" w:rsidRDefault="00EA4DF8" w:rsidP="00F9645E">
            <w:pPr>
              <w:pStyle w:val="BulletLevel1"/>
              <w:numPr>
                <w:ilvl w:val="0"/>
                <w:numId w:val="37"/>
              </w:numPr>
              <w:spacing w:before="0"/>
              <w:ind w:left="357"/>
            </w:pPr>
            <w:r>
              <w:t>T</w:t>
            </w:r>
            <w:r w:rsidR="00A50022">
              <w:t>he APSC has pursued research projects that u</w:t>
            </w:r>
            <w:r>
              <w:t>tilise</w:t>
            </w:r>
            <w:r w:rsidR="00A50022">
              <w:t xml:space="preserve"> APSC workforce databases. </w:t>
            </w:r>
          </w:p>
          <w:p w14:paraId="23CFFA36" w14:textId="32428117" w:rsidR="00A50022" w:rsidRDefault="00A50022" w:rsidP="00F9645E">
            <w:pPr>
              <w:pStyle w:val="BulletLevel1"/>
              <w:numPr>
                <w:ilvl w:val="0"/>
                <w:numId w:val="37"/>
              </w:numPr>
              <w:spacing w:before="0"/>
              <w:ind w:left="357"/>
            </w:pPr>
            <w:r>
              <w:t xml:space="preserve">The APSC has published a </w:t>
            </w:r>
            <w:hyperlink r:id="rId69" w:history="1">
              <w:r w:rsidRPr="007F3CFD">
                <w:rPr>
                  <w:rStyle w:val="Hyperlink"/>
                </w:rPr>
                <w:t>drivers of the APS</w:t>
              </w:r>
              <w:r>
                <w:rPr>
                  <w:rStyle w:val="Hyperlink"/>
                </w:rPr>
                <w:t xml:space="preserve"> gender</w:t>
              </w:r>
              <w:r w:rsidRPr="007F3CFD">
                <w:rPr>
                  <w:rStyle w:val="Hyperlink"/>
                </w:rPr>
                <w:t xml:space="preserve"> pay gap</w:t>
              </w:r>
            </w:hyperlink>
            <w:r>
              <w:t xml:space="preserve"> report and a </w:t>
            </w:r>
            <w:hyperlink r:id="rId70" w:history="1">
              <w:r w:rsidRPr="007B7599">
                <w:rPr>
                  <w:rStyle w:val="Hyperlink"/>
                </w:rPr>
                <w:t>follow up report</w:t>
              </w:r>
            </w:hyperlink>
            <w:r>
              <w:t xml:space="preserve"> to provide insight into what is driving the pay gap between women and men in the APS, with future analysis to include non-binary employee remuneration. </w:t>
            </w:r>
          </w:p>
          <w:p w14:paraId="3C5F23CD" w14:textId="04B59DFB" w:rsidR="00A262CA" w:rsidRDefault="00A262CA" w:rsidP="00F9645E">
            <w:pPr>
              <w:pStyle w:val="BulletLevel1"/>
              <w:numPr>
                <w:ilvl w:val="0"/>
                <w:numId w:val="37"/>
              </w:numPr>
              <w:spacing w:before="0"/>
              <w:ind w:left="357"/>
            </w:pPr>
            <w:r>
              <w:t>The APSC has published gender analyses within the SOSR publications.</w:t>
            </w:r>
          </w:p>
          <w:p w14:paraId="4184FAF5" w14:textId="4DD2DBDD" w:rsidR="00A50022" w:rsidRPr="006E644B" w:rsidRDefault="00A50022" w:rsidP="00F9645E">
            <w:pPr>
              <w:pStyle w:val="BulletLevel1"/>
              <w:numPr>
                <w:ilvl w:val="0"/>
                <w:numId w:val="37"/>
              </w:numPr>
              <w:spacing w:before="0"/>
              <w:ind w:left="357"/>
            </w:pPr>
            <w:r>
              <w:t>The APSC has also collaborated with WGEA on the</w:t>
            </w:r>
            <w:r w:rsidR="00AE73CA">
              <w:t>ir</w:t>
            </w:r>
            <w:r>
              <w:t xml:space="preserve"> </w:t>
            </w:r>
            <w:r w:rsidRPr="00AE73CA">
              <w:rPr>
                <w:i/>
              </w:rPr>
              <w:t>2022 Commonwealth Public Sector Gender Equality Snapshot</w:t>
            </w:r>
            <w:r>
              <w:t>, with WGEA’s research focused on better understanding gender dynamics in the APS workforce.</w:t>
            </w:r>
          </w:p>
          <w:p w14:paraId="1E57D809" w14:textId="2EED6DB4" w:rsidR="005F6814" w:rsidRPr="00873D92" w:rsidRDefault="005F6814" w:rsidP="006E644B">
            <w:pPr>
              <w:pStyle w:val="BulletLevel1"/>
              <w:spacing w:before="0"/>
              <w:ind w:left="357" w:firstLine="0"/>
            </w:pPr>
          </w:p>
        </w:tc>
      </w:tr>
    </w:tbl>
    <w:p w14:paraId="34E89B0C" w14:textId="31CA5174" w:rsidR="004D2E9A" w:rsidRDefault="00663675" w:rsidP="009229F6">
      <w:pPr>
        <w:pStyle w:val="Heading2"/>
      </w:pPr>
      <w:bookmarkStart w:id="1532" w:name="_Toc169708665"/>
      <w:bookmarkStart w:id="1533" w:name="_Toc170119709"/>
      <w:bookmarkStart w:id="1534" w:name="_Toc170138092"/>
      <w:bookmarkStart w:id="1535" w:name="_Toc170140165"/>
      <w:bookmarkStart w:id="1536" w:name="_Toc181715742"/>
      <w:r>
        <w:lastRenderedPageBreak/>
        <w:t xml:space="preserve">APS </w:t>
      </w:r>
      <w:r w:rsidR="00EE6A8A">
        <w:t xml:space="preserve">Gender </w:t>
      </w:r>
      <w:r w:rsidR="00EE6A8A" w:rsidRPr="0009709A">
        <w:t>Pay Gap</w:t>
      </w:r>
      <w:bookmarkEnd w:id="1531"/>
      <w:bookmarkEnd w:id="1532"/>
      <w:bookmarkEnd w:id="1533"/>
      <w:bookmarkEnd w:id="1534"/>
      <w:bookmarkEnd w:id="1535"/>
      <w:bookmarkEnd w:id="1536"/>
    </w:p>
    <w:p w14:paraId="7ECACEF1" w14:textId="47704619" w:rsidR="00EE6A8A" w:rsidRDefault="00A610E0" w:rsidP="00F22251">
      <w:r>
        <w:t>The APS Remuneration Survey collects remuneration data on women, men, and non-binary employees.</w:t>
      </w:r>
      <w:r>
        <w:rPr>
          <w:rStyle w:val="FootnoteReference"/>
        </w:rPr>
        <w:footnoteReference w:id="21"/>
      </w:r>
      <w:r>
        <w:t xml:space="preserve"> Analysis indicates that t</w:t>
      </w:r>
      <w:r w:rsidR="00EE6A8A" w:rsidRPr="00A91263">
        <w:t xml:space="preserve">he </w:t>
      </w:r>
      <w:r w:rsidR="00D17900" w:rsidRPr="00A91263">
        <w:t>APS</w:t>
      </w:r>
      <w:r w:rsidR="00EE6A8A" w:rsidRPr="00A91263">
        <w:t xml:space="preserve"> gender pay gap</w:t>
      </w:r>
      <w:r w:rsidR="006A116B">
        <w:t xml:space="preserve"> between women and men</w:t>
      </w:r>
      <w:r w:rsidR="00EE6A8A" w:rsidRPr="00A91263">
        <w:t xml:space="preserve"> has fallen over time to </w:t>
      </w:r>
      <w:r w:rsidR="00D56228" w:rsidRPr="00A91263">
        <w:t>4.5</w:t>
      </w:r>
      <w:r w:rsidR="00EE6A8A" w:rsidRPr="00A91263">
        <w:t>% in 202</w:t>
      </w:r>
      <w:r w:rsidR="005915E2" w:rsidRPr="00A91263">
        <w:t>3</w:t>
      </w:r>
      <w:r w:rsidR="00A91263">
        <w:t xml:space="preserve"> </w:t>
      </w:r>
      <w:r w:rsidR="00A91263" w:rsidRPr="00A91263">
        <w:t>(</w:t>
      </w:r>
      <w:r w:rsidR="00187B63">
        <w:fldChar w:fldCharType="begin"/>
      </w:r>
      <w:r w:rsidR="00187B63">
        <w:instrText xml:space="preserve"> REF _Ref168395106 \h </w:instrText>
      </w:r>
      <w:r w:rsidR="00187B63">
        <w:fldChar w:fldCharType="separate"/>
      </w:r>
      <w:r w:rsidR="002B65E2">
        <w:t xml:space="preserve">Figure </w:t>
      </w:r>
      <w:r w:rsidR="002B65E2">
        <w:rPr>
          <w:noProof/>
        </w:rPr>
        <w:t>21</w:t>
      </w:r>
      <w:r w:rsidR="00187B63">
        <w:fldChar w:fldCharType="end"/>
      </w:r>
      <w:r w:rsidR="00A91263" w:rsidRPr="00A91263">
        <w:t>)</w:t>
      </w:r>
      <w:r w:rsidR="00A91263">
        <w:t>,</w:t>
      </w:r>
      <w:r w:rsidR="00EE6A8A" w:rsidRPr="00317D78">
        <w:t xml:space="preserve"> </w:t>
      </w:r>
      <w:r w:rsidR="00EE6A8A" w:rsidRPr="009D6FB0">
        <w:t>which was less th</w:t>
      </w:r>
      <w:r w:rsidR="005915E2" w:rsidRPr="00DF7124">
        <w:t>an ha</w:t>
      </w:r>
      <w:r w:rsidR="005915E2">
        <w:t>lf the national pay gap (12</w:t>
      </w:r>
      <w:r w:rsidR="00EE6A8A" w:rsidRPr="00C12D67">
        <w:t>.0%</w:t>
      </w:r>
      <w:r w:rsidR="005915E2" w:rsidRPr="00C12D67">
        <w:t>)</w:t>
      </w:r>
      <w:r w:rsidR="002E798A">
        <w:t>.</w:t>
      </w:r>
      <w:r w:rsidR="005915E2" w:rsidRPr="00C12D67">
        <w:rPr>
          <w:rStyle w:val="FootnoteReference"/>
        </w:rPr>
        <w:footnoteReference w:id="22"/>
      </w:r>
      <w:r w:rsidR="005915E2" w:rsidRPr="00C12D67">
        <w:t xml:space="preserve"> </w:t>
      </w:r>
      <w:r w:rsidR="00EE6A8A" w:rsidRPr="00C12D67">
        <w:t xml:space="preserve">Since the development of the Strategy, the gender pay gap </w:t>
      </w:r>
      <w:r w:rsidR="00036FDD">
        <w:t>between women and men</w:t>
      </w:r>
      <w:r w:rsidR="00EE6A8A" w:rsidRPr="00C12D67">
        <w:t xml:space="preserve"> has </w:t>
      </w:r>
      <w:r w:rsidR="00D17900" w:rsidRPr="00C12D67">
        <w:t>continued to</w:t>
      </w:r>
      <w:r w:rsidR="00EE6A8A" w:rsidRPr="00C12D67">
        <w:t xml:space="preserve"> drop</w:t>
      </w:r>
      <w:r w:rsidR="00D17900" w:rsidRPr="00C12D67">
        <w:t>, falling</w:t>
      </w:r>
      <w:r w:rsidR="00EE6A8A" w:rsidRPr="00C12D67">
        <w:t xml:space="preserve"> from 6.0%</w:t>
      </w:r>
      <w:r w:rsidR="00D45C07" w:rsidRPr="00C12D67">
        <w:t xml:space="preserve"> in 2021</w:t>
      </w:r>
      <w:r w:rsidR="00EE6A8A" w:rsidRPr="00C12D67">
        <w:t>.</w:t>
      </w:r>
      <w:r w:rsidR="00D037E4" w:rsidRPr="00C12D67">
        <w:t xml:space="preserve"> </w:t>
      </w:r>
    </w:p>
    <w:p w14:paraId="13EA06E3" w14:textId="2ADD1DD2" w:rsidR="00187B63" w:rsidRDefault="00187B63" w:rsidP="00873D92">
      <w:pPr>
        <w:pStyle w:val="Heading5"/>
      </w:pPr>
      <w:bookmarkStart w:id="1537" w:name="_Ref168395106"/>
      <w:bookmarkStart w:id="1538" w:name="_Toc168405570"/>
      <w:bookmarkStart w:id="1539" w:name="_Toc168408719"/>
      <w:bookmarkStart w:id="1540" w:name="_Toc168411009"/>
      <w:bookmarkStart w:id="1541" w:name="_Toc168405869"/>
      <w:bookmarkStart w:id="1542" w:name="_Toc168473677"/>
      <w:bookmarkStart w:id="1543" w:name="_Toc168471575"/>
      <w:bookmarkStart w:id="1544" w:name="_Toc168484635"/>
      <w:bookmarkStart w:id="1545" w:name="_Toc168495104"/>
      <w:bookmarkStart w:id="1546" w:name="_Toc168495553"/>
      <w:bookmarkStart w:id="1547" w:name="_Toc168586022"/>
      <w:bookmarkStart w:id="1548" w:name="_Toc168586457"/>
      <w:bookmarkStart w:id="1549" w:name="_Toc169278415"/>
      <w:bookmarkStart w:id="1550" w:name="_Toc169536530"/>
      <w:bookmarkStart w:id="1551" w:name="_Toc169708611"/>
      <w:bookmarkStart w:id="1552" w:name="_Toc170138039"/>
      <w:bookmarkStart w:id="1553" w:name="_Toc170140112"/>
      <w:bookmarkStart w:id="1554" w:name="_Toc173857143"/>
      <w:r>
        <w:t xml:space="preserve">Figure </w:t>
      </w:r>
      <w:r>
        <w:fldChar w:fldCharType="begin"/>
      </w:r>
      <w:r>
        <w:instrText>SEQ Figure \* ARABIC</w:instrText>
      </w:r>
      <w:r>
        <w:fldChar w:fldCharType="separate"/>
      </w:r>
      <w:r w:rsidR="002B65E2">
        <w:rPr>
          <w:noProof/>
        </w:rPr>
        <w:t>21</w:t>
      </w:r>
      <w:r>
        <w:fldChar w:fldCharType="end"/>
      </w:r>
      <w:bookmarkEnd w:id="1537"/>
      <w:r w:rsidR="009229F6">
        <w:t xml:space="preserve"> APS Gender pay gap </w:t>
      </w:r>
      <w:r>
        <w:t>over time</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6EE2FED1" w14:textId="047BA1C5" w:rsidR="00672C32" w:rsidRDefault="00672C32" w:rsidP="00672C32">
      <w:pPr>
        <w:spacing w:line="240" w:lineRule="auto"/>
        <w:rPr>
          <w:rFonts w:ascii="Times New Roman" w:eastAsia="Times New Roman" w:hAnsi="Times New Roman" w:cs="Times New Roman"/>
          <w:color w:val="auto"/>
          <w:sz w:val="24"/>
          <w:szCs w:val="24"/>
          <w:lang w:eastAsia="en-AU"/>
        </w:rPr>
      </w:pPr>
      <w:r w:rsidRPr="00672C32">
        <w:rPr>
          <w:noProof/>
          <w:lang w:eastAsia="en-AU"/>
        </w:rPr>
        <w:drawing>
          <wp:inline distT="0" distB="0" distL="0" distR="0" wp14:anchorId="3D8D4027" wp14:editId="582315E5">
            <wp:extent cx="5613010" cy="3249637"/>
            <wp:effectExtent l="0" t="0" r="6985" b="8255"/>
            <wp:docPr id="3" name="Picture 3" descr="Analysis indicates that the APS gender pay gap between women and men has fallen over time to 4.5% in 2023 " title="Figure 21 APS Gender pay gap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c1128\AppData\Local\Microsoft\Windows\INetCache\Content.MSO\71EAFED5.tmp"/>
                    <pic:cNvPicPr>
                      <a:picLocks noChangeAspect="1" noChangeArrowheads="1"/>
                    </pic:cNvPicPr>
                  </pic:nvPicPr>
                  <pic:blipFill rotWithShape="1">
                    <a:blip r:embed="rId71">
                      <a:extLst>
                        <a:ext uri="{28A0092B-C50C-407E-A947-70E740481C1C}">
                          <a14:useLocalDpi xmlns:a14="http://schemas.microsoft.com/office/drawing/2010/main" val="0"/>
                        </a:ext>
                      </a:extLst>
                    </a:blip>
                    <a:srcRect l="1466" t="2841" r="1068" b="3398"/>
                    <a:stretch/>
                  </pic:blipFill>
                  <pic:spPr bwMode="auto">
                    <a:xfrm>
                      <a:off x="0" y="0"/>
                      <a:ext cx="5614065" cy="3250248"/>
                    </a:xfrm>
                    <a:prstGeom prst="rect">
                      <a:avLst/>
                    </a:prstGeom>
                    <a:noFill/>
                    <a:ln>
                      <a:noFill/>
                    </a:ln>
                    <a:extLst>
                      <a:ext uri="{53640926-AAD7-44D8-BBD7-CCE9431645EC}">
                        <a14:shadowObscured xmlns:a14="http://schemas.microsoft.com/office/drawing/2010/main"/>
                      </a:ext>
                    </a:extLst>
                  </pic:spPr>
                </pic:pic>
              </a:graphicData>
            </a:graphic>
          </wp:inline>
        </w:drawing>
      </w:r>
    </w:p>
    <w:p w14:paraId="5EFDFCE1" w14:textId="72C51584" w:rsidR="00BF5E8A" w:rsidRPr="00876F89" w:rsidRDefault="00BF5E8A" w:rsidP="00EE6A8A">
      <w:pPr>
        <w:rPr>
          <w:sz w:val="16"/>
          <w:szCs w:val="16"/>
        </w:rPr>
      </w:pPr>
      <w:r w:rsidRPr="00876F89">
        <w:rPr>
          <w:sz w:val="16"/>
          <w:szCs w:val="16"/>
        </w:rPr>
        <w:t>Source: APS Remuneration Survey</w:t>
      </w:r>
      <w:r w:rsidR="007D6866" w:rsidRPr="00876F89">
        <w:rPr>
          <w:sz w:val="16"/>
          <w:szCs w:val="16"/>
        </w:rPr>
        <w:t xml:space="preserve"> 2013-2023.</w:t>
      </w:r>
    </w:p>
    <w:p w14:paraId="0440A0B1" w14:textId="0B9E2988" w:rsidR="00FC074E" w:rsidRDefault="00EE6A8A" w:rsidP="00EE6A8A">
      <w:r>
        <w:t>T</w:t>
      </w:r>
      <w:r w:rsidRPr="0009709A">
        <w:t xml:space="preserve">he </w:t>
      </w:r>
      <w:r>
        <w:t>APSC has analysed</w:t>
      </w:r>
      <w:r w:rsidRPr="0009709A">
        <w:t xml:space="preserve"> the</w:t>
      </w:r>
      <w:r w:rsidR="00B64F3D">
        <w:t xml:space="preserve"> </w:t>
      </w:r>
      <w:hyperlink r:id="rId72" w:history="1">
        <w:r w:rsidR="00B64F3D" w:rsidRPr="007F3CFD">
          <w:rPr>
            <w:rStyle w:val="Hyperlink"/>
          </w:rPr>
          <w:t>drivers of the APS</w:t>
        </w:r>
        <w:r w:rsidR="00B64F3D">
          <w:rPr>
            <w:rStyle w:val="Hyperlink"/>
          </w:rPr>
          <w:t xml:space="preserve"> gender</w:t>
        </w:r>
        <w:r w:rsidR="00B64F3D" w:rsidRPr="007F3CFD">
          <w:rPr>
            <w:rStyle w:val="Hyperlink"/>
          </w:rPr>
          <w:t xml:space="preserve"> pay gap</w:t>
        </w:r>
      </w:hyperlink>
      <w:r>
        <w:t xml:space="preserve">. </w:t>
      </w:r>
      <w:r w:rsidR="00B64F3D">
        <w:t>F</w:t>
      </w:r>
      <w:r>
        <w:t xml:space="preserve">indings showed it was mainly driven by </w:t>
      </w:r>
      <w:r w:rsidR="0082317E">
        <w:t>more women at the APS3 to APS5 levels compared to men</w:t>
      </w:r>
      <w:r>
        <w:t>.</w:t>
      </w:r>
      <w:r w:rsidR="007B7599">
        <w:t xml:space="preserve"> A </w:t>
      </w:r>
      <w:hyperlink r:id="rId73" w:history="1">
        <w:r w:rsidR="007B7599" w:rsidRPr="007B7599">
          <w:rPr>
            <w:rStyle w:val="Hyperlink"/>
          </w:rPr>
          <w:t>follow up report</w:t>
        </w:r>
      </w:hyperlink>
      <w:r w:rsidR="007B7599">
        <w:t xml:space="preserve"> </w:t>
      </w:r>
      <w:r w:rsidR="00370535">
        <w:t xml:space="preserve">outlined how, </w:t>
      </w:r>
      <w:r w:rsidR="003C543A">
        <w:t xml:space="preserve">on average, </w:t>
      </w:r>
      <w:r w:rsidR="007B7599">
        <w:t xml:space="preserve">more women at higher levels, combined with a steady proportion of women at lower levels, had seen </w:t>
      </w:r>
      <w:r>
        <w:t xml:space="preserve">improvements in the </w:t>
      </w:r>
      <w:r w:rsidR="00E862DB">
        <w:t xml:space="preserve">APS </w:t>
      </w:r>
      <w:r>
        <w:t>gender pay gap.</w:t>
      </w:r>
      <w:r w:rsidR="007B7599">
        <w:t xml:space="preserve"> More women at higher levels was in turn driven by both more engagements and promotions of women into those levels.</w:t>
      </w:r>
      <w:r>
        <w:t xml:space="preserve"> WGEA’s </w:t>
      </w:r>
      <w:hyperlink r:id="rId74" w:history="1">
        <w:r w:rsidRPr="00AE73CA">
          <w:rPr>
            <w:i/>
          </w:rPr>
          <w:t xml:space="preserve">2022 Commonwealth </w:t>
        </w:r>
        <w:r w:rsidR="003C543A" w:rsidRPr="00AE73CA">
          <w:rPr>
            <w:i/>
          </w:rPr>
          <w:t>Public Sector Gender Equality S</w:t>
        </w:r>
        <w:r w:rsidRPr="00AE73CA">
          <w:rPr>
            <w:i/>
          </w:rPr>
          <w:t>napshot</w:t>
        </w:r>
      </w:hyperlink>
      <w:r>
        <w:t xml:space="preserve"> showed that </w:t>
      </w:r>
      <w:r w:rsidR="003C543A">
        <w:t xml:space="preserve">some </w:t>
      </w:r>
      <w:r w:rsidR="00C76EE9">
        <w:t xml:space="preserve">Commonwealth </w:t>
      </w:r>
      <w:r w:rsidR="00AE73CA">
        <w:t>entities</w:t>
      </w:r>
      <w:r w:rsidR="003C543A">
        <w:t xml:space="preserve"> have tried </w:t>
      </w:r>
      <w:r>
        <w:t>to increase the number of women in leadership positions by setting targets.</w:t>
      </w:r>
      <w:r w:rsidR="00F57271">
        <w:rPr>
          <w:rStyle w:val="FootnoteReference"/>
        </w:rPr>
        <w:footnoteReference w:id="23"/>
      </w:r>
      <w:r>
        <w:t xml:space="preserve"> 67% of agencies set gender equality targets, and 40% of these agencies set a target to increase women’s representation in leadership positions.</w:t>
      </w:r>
      <w:r w:rsidR="00AE73CA">
        <w:rPr>
          <w:rStyle w:val="FootnoteReference"/>
        </w:rPr>
        <w:footnoteReference w:id="24"/>
      </w:r>
    </w:p>
    <w:p w14:paraId="3DF79800" w14:textId="1379A481" w:rsidR="00EE6A8A" w:rsidRDefault="00EE6A8A" w:rsidP="00122045">
      <w:pPr>
        <w:pStyle w:val="Heading2"/>
      </w:pPr>
      <w:bookmarkStart w:id="1555" w:name="_Toc168329213"/>
      <w:bookmarkStart w:id="1556" w:name="_Toc168322869"/>
      <w:bookmarkStart w:id="1557" w:name="_Toc168387986"/>
      <w:bookmarkStart w:id="1558" w:name="_Toc168405641"/>
      <w:bookmarkStart w:id="1559" w:name="_Toc168408679"/>
      <w:bookmarkStart w:id="1560" w:name="_Toc168411080"/>
      <w:bookmarkStart w:id="1561" w:name="_Toc168405939"/>
      <w:bookmarkStart w:id="1562" w:name="_Toc168473747"/>
      <w:bookmarkStart w:id="1563" w:name="_Toc168471645"/>
      <w:bookmarkStart w:id="1564" w:name="_Toc168484705"/>
      <w:bookmarkStart w:id="1565" w:name="_Toc168495173"/>
      <w:bookmarkStart w:id="1566" w:name="_Toc168495622"/>
      <w:bookmarkStart w:id="1567" w:name="_Toc169103290"/>
      <w:bookmarkStart w:id="1568" w:name="_Toc169104764"/>
      <w:bookmarkStart w:id="1569" w:name="_Toc169278480"/>
      <w:bookmarkStart w:id="1570" w:name="_Toc169536920"/>
      <w:bookmarkStart w:id="1571" w:name="_Toc169708666"/>
      <w:bookmarkStart w:id="1572" w:name="_Toc170119710"/>
      <w:bookmarkStart w:id="1573" w:name="_Toc170138093"/>
      <w:bookmarkStart w:id="1574" w:name="_Toc170140166"/>
      <w:bookmarkStart w:id="1575" w:name="_Toc181715743"/>
      <w:r>
        <w:lastRenderedPageBreak/>
        <w:t>Agencies understanding their gender pay gap</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5E8F1476" w14:textId="47A82EA4" w:rsidR="00EE6A8A" w:rsidRPr="00A6641D" w:rsidRDefault="00EE6A8A" w:rsidP="00EE6A8A">
      <w:pPr>
        <w:rPr>
          <w:strike/>
        </w:rPr>
      </w:pPr>
      <w:r>
        <w:t xml:space="preserve">All agencies </w:t>
      </w:r>
      <w:r w:rsidR="008C3FA2">
        <w:t xml:space="preserve">benefit from </w:t>
      </w:r>
      <w:r>
        <w:t>understand</w:t>
      </w:r>
      <w:r w:rsidR="008C3FA2">
        <w:t>ing</w:t>
      </w:r>
      <w:r>
        <w:t xml:space="preserve"> their gender pay gap and gender composition across occupations at all levels</w:t>
      </w:r>
      <w:r w:rsidR="008C3FA2">
        <w:t>. They can</w:t>
      </w:r>
      <w:r>
        <w:t xml:space="preserve"> use this information to better target their gender equality initiatives.</w:t>
      </w:r>
      <w:r w:rsidR="00663675" w:rsidRPr="00663675">
        <w:t xml:space="preserve"> </w:t>
      </w:r>
      <w:r w:rsidR="00072D5B">
        <w:t xml:space="preserve">WGEA’s </w:t>
      </w:r>
      <w:hyperlink r:id="rId75" w:history="1">
        <w:r w:rsidR="00072D5B" w:rsidRPr="007E164C">
          <w:rPr>
            <w:i/>
          </w:rPr>
          <w:t>2022 Commonwealth Public Sector Gender Equality Snapshot</w:t>
        </w:r>
      </w:hyperlink>
      <w:r w:rsidR="00663675">
        <w:t xml:space="preserve"> found that </w:t>
      </w:r>
      <w:r w:rsidR="006F6515">
        <w:t xml:space="preserve">56% </w:t>
      </w:r>
      <w:r w:rsidR="00663675">
        <w:t xml:space="preserve">of </w:t>
      </w:r>
      <w:r w:rsidR="00C76EE9">
        <w:t xml:space="preserve">Commonwealth </w:t>
      </w:r>
      <w:r w:rsidR="007E164C">
        <w:t>entities</w:t>
      </w:r>
      <w:r w:rsidR="00663675">
        <w:t xml:space="preserve"> had conducted a pay gap audit, with </w:t>
      </w:r>
      <w:r w:rsidR="006F6515">
        <w:t xml:space="preserve">68% </w:t>
      </w:r>
      <w:r w:rsidR="00072D5B">
        <w:t xml:space="preserve">of those who had undertaken an audit </w:t>
      </w:r>
      <w:r w:rsidR="00663675">
        <w:t>taking action afterwards.</w:t>
      </w:r>
      <w:r w:rsidR="006A257C">
        <w:rPr>
          <w:rStyle w:val="FootnoteReference"/>
        </w:rPr>
        <w:footnoteReference w:id="25"/>
      </w:r>
      <w:r w:rsidR="00663675">
        <w:t xml:space="preserve"> Common actions taken </w:t>
      </w:r>
      <w:r w:rsidR="006F6515">
        <w:t xml:space="preserve">include 84% of agencies </w:t>
      </w:r>
      <w:r w:rsidR="00663675">
        <w:t>reporting pay equity metrics to the</w:t>
      </w:r>
      <w:r w:rsidR="006F6515">
        <w:t>ir</w:t>
      </w:r>
      <w:r w:rsidR="00663675">
        <w:t xml:space="preserve"> executive</w:t>
      </w:r>
      <w:r w:rsidR="006F6515">
        <w:t xml:space="preserve">, and 58% </w:t>
      </w:r>
      <w:r w:rsidR="00663675">
        <w:t xml:space="preserve">identifying the causes of </w:t>
      </w:r>
      <w:r w:rsidR="006F6515">
        <w:t xml:space="preserve">pay </w:t>
      </w:r>
      <w:r w:rsidR="00663675">
        <w:t>gaps.</w:t>
      </w:r>
      <w:r w:rsidR="007E164C">
        <w:rPr>
          <w:rStyle w:val="FootnoteReference"/>
        </w:rPr>
        <w:footnoteReference w:id="26"/>
      </w:r>
      <w:r w:rsidR="00663675">
        <w:t xml:space="preserve"> Some common reasons for not conducting a gender pay gap analysis included </w:t>
      </w:r>
      <w:r w:rsidR="006F6515">
        <w:t xml:space="preserve">17% of agencies </w:t>
      </w:r>
      <w:r w:rsidR="00663675">
        <w:t xml:space="preserve">not </w:t>
      </w:r>
      <w:r w:rsidR="00C3178F">
        <w:t xml:space="preserve">being </w:t>
      </w:r>
      <w:r w:rsidR="00663675">
        <w:t xml:space="preserve">aware of the need </w:t>
      </w:r>
      <w:r w:rsidR="00C3178F">
        <w:t>to</w:t>
      </w:r>
      <w:r w:rsidR="006F6515">
        <w:t xml:space="preserve">, another 17% reporting that </w:t>
      </w:r>
      <w:r w:rsidR="00C3178F">
        <w:t xml:space="preserve">the analysis </w:t>
      </w:r>
      <w:r w:rsidR="006F6515">
        <w:t xml:space="preserve">was </w:t>
      </w:r>
      <w:r w:rsidR="00663675">
        <w:t>curre</w:t>
      </w:r>
      <w:r w:rsidR="00046651">
        <w:t>ntly</w:t>
      </w:r>
      <w:r w:rsidR="00663675">
        <w:t xml:space="preserve"> </w:t>
      </w:r>
      <w:r w:rsidR="009D0DA4">
        <w:t>under development</w:t>
      </w:r>
      <w:r w:rsidR="00C3178F">
        <w:t>,</w:t>
      </w:r>
      <w:r w:rsidR="00663675">
        <w:t xml:space="preserve"> and </w:t>
      </w:r>
      <w:r w:rsidR="006F6515">
        <w:t xml:space="preserve">13% reporting </w:t>
      </w:r>
      <w:r w:rsidR="00663675">
        <w:t>insufficient resources</w:t>
      </w:r>
      <w:r w:rsidR="009D0DA4">
        <w:t xml:space="preserve"> or </w:t>
      </w:r>
      <w:r w:rsidR="00663675">
        <w:t xml:space="preserve">expertise </w:t>
      </w:r>
      <w:r w:rsidR="006F6515">
        <w:t>to undertake such analysis</w:t>
      </w:r>
      <w:r w:rsidR="00DF1763">
        <w:t>.</w:t>
      </w:r>
      <w:r w:rsidR="007E164C">
        <w:rPr>
          <w:rStyle w:val="FootnoteReference"/>
        </w:rPr>
        <w:footnoteReference w:id="27"/>
      </w:r>
    </w:p>
    <w:p w14:paraId="4A5EC3DB" w14:textId="1957A0B8" w:rsidR="00EE6A8A" w:rsidRDefault="00EE6A8A" w:rsidP="00EE6A8A">
      <w:r>
        <w:t>In an effort to bring greater awareness to gender pay differences within agencies and encourage targeted strategies to improve them</w:t>
      </w:r>
      <w:r w:rsidR="00C3178F">
        <w:t>,</w:t>
      </w:r>
      <w:r>
        <w:t xml:space="preserve"> the Strategy has a minimum standard for agencies to track their gender pay gap by whole of agency and classification level. To support agencies with this task, the APSC has sent all agencies an annual Remuneration Report providing gender pay gap figures at both agency and classification levels</w:t>
      </w:r>
      <w:r w:rsidR="00C3178F">
        <w:t xml:space="preserve"> since 2018</w:t>
      </w:r>
      <w:r>
        <w:t xml:space="preserve">. All agencies have since </w:t>
      </w:r>
      <w:r w:rsidR="00C3178F">
        <w:t>been required</w:t>
      </w:r>
      <w:r>
        <w:t xml:space="preserve"> to brief their Minister on the</w:t>
      </w:r>
      <w:r w:rsidR="00B16F67">
        <w:t>se</w:t>
      </w:r>
      <w:r>
        <w:t xml:space="preserve"> results, encouraging accountability and greater visibility of the figures.</w:t>
      </w:r>
      <w:r w:rsidR="0099448E">
        <w:t xml:space="preserve"> </w:t>
      </w:r>
      <w:r>
        <w:t xml:space="preserve">This accountability and transparency will increase in early 2025 when WGEA will start to </w:t>
      </w:r>
      <w:hyperlink r:id="rId76" w:history="1">
        <w:r w:rsidRPr="00D06B0E">
          <w:rPr>
            <w:rStyle w:val="Hyperlink"/>
          </w:rPr>
          <w:t>publish the gender pay gap</w:t>
        </w:r>
      </w:hyperlink>
      <w:r>
        <w:t xml:space="preserve"> for any agenc</w:t>
      </w:r>
      <w:r w:rsidR="008D344B">
        <w:t>y</w:t>
      </w:r>
      <w:r>
        <w:t xml:space="preserve"> with 100 or more employees, following changes to the </w:t>
      </w:r>
      <w:r w:rsidRPr="00FA03FE">
        <w:rPr>
          <w:i/>
        </w:rPr>
        <w:t>Workplace Gender Equality Act 2012</w:t>
      </w:r>
      <w:r>
        <w:t>.</w:t>
      </w:r>
    </w:p>
    <w:p w14:paraId="308C83E6" w14:textId="00648C2F" w:rsidR="00EE6A8A" w:rsidRDefault="00EE6A8A" w:rsidP="00EE6A8A">
      <w:r>
        <w:t>According to GES Survey results, 52% of agencies indicated that analysis to identify the drivers of the gender pay gap had been conducted or was underway, while 20% of agencies reported that they had not yet undertaken analysis but were planning to</w:t>
      </w:r>
      <w:r w:rsidR="00BC2C91">
        <w:t xml:space="preserve"> do so</w:t>
      </w:r>
      <w:r w:rsidR="00D12BDC">
        <w:t>. Finally,</w:t>
      </w:r>
      <w:r>
        <w:t xml:space="preserve"> 28% of agencies indicated that there was no analysis planned. WGEA has published guidance around how to </w:t>
      </w:r>
      <w:hyperlink r:id="rId77" w:history="1">
        <w:r w:rsidRPr="005906C2">
          <w:rPr>
            <w:rStyle w:val="Hyperlink"/>
          </w:rPr>
          <w:t>conduct gender pay gap analysis</w:t>
        </w:r>
      </w:hyperlink>
      <w:r>
        <w:t>, including how to compare agency data with common drivers of the gender pay gap</w:t>
      </w:r>
      <w:r w:rsidR="00B16F67">
        <w:t>.</w:t>
      </w:r>
    </w:p>
    <w:p w14:paraId="00EB6BD2" w14:textId="7DAEB993" w:rsidR="00EE6A8A" w:rsidRDefault="00EE6A8A" w:rsidP="00EE6A8A">
      <w:pPr>
        <w:pStyle w:val="Heading2"/>
      </w:pPr>
      <w:bookmarkStart w:id="1576" w:name="_Toc168329214"/>
      <w:bookmarkStart w:id="1577" w:name="_Toc168322870"/>
      <w:bookmarkStart w:id="1578" w:name="_Toc168387987"/>
      <w:bookmarkStart w:id="1579" w:name="_Toc168405642"/>
      <w:bookmarkStart w:id="1580" w:name="_Toc168408680"/>
      <w:bookmarkStart w:id="1581" w:name="_Toc168411081"/>
      <w:bookmarkStart w:id="1582" w:name="_Toc168405940"/>
      <w:bookmarkStart w:id="1583" w:name="_Toc168473748"/>
      <w:bookmarkStart w:id="1584" w:name="_Toc168471646"/>
      <w:bookmarkStart w:id="1585" w:name="_Toc168484706"/>
      <w:bookmarkStart w:id="1586" w:name="_Toc168495174"/>
      <w:bookmarkStart w:id="1587" w:name="_Toc168495623"/>
      <w:bookmarkStart w:id="1588" w:name="_Toc169103291"/>
      <w:bookmarkStart w:id="1589" w:name="_Toc169104765"/>
      <w:bookmarkStart w:id="1590" w:name="_Toc169278481"/>
      <w:bookmarkStart w:id="1591" w:name="_Toc169536921"/>
      <w:bookmarkStart w:id="1592" w:name="_Toc169708667"/>
      <w:bookmarkStart w:id="1593" w:name="_Toc170119711"/>
      <w:bookmarkStart w:id="1594" w:name="_Toc170138094"/>
      <w:bookmarkStart w:id="1595" w:name="_Toc170140167"/>
      <w:bookmarkStart w:id="1596" w:name="_Toc181715744"/>
      <w:r>
        <w:t>Agency gender and diversity data collection and analysis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638D9CF6" w14:textId="26BAAE86" w:rsidR="00EE6A8A" w:rsidRDefault="00EE6A8A" w:rsidP="00EE6A8A">
      <w:r>
        <w:t xml:space="preserve">Since the launch of the Strategy, 60% of agencies </w:t>
      </w:r>
      <w:r w:rsidR="00C3178F">
        <w:t xml:space="preserve">reported that they </w:t>
      </w:r>
      <w:r>
        <w:t xml:space="preserve">increased their </w:t>
      </w:r>
      <w:r w:rsidRPr="00694E9E">
        <w:t>capabil</w:t>
      </w:r>
      <w:r>
        <w:t>ity to collect and analyse high-</w:t>
      </w:r>
      <w:r w:rsidRPr="00694E9E">
        <w:t>level gender data</w:t>
      </w:r>
      <w:r>
        <w:t xml:space="preserve">, and </w:t>
      </w:r>
      <w:r w:rsidR="00B16F67">
        <w:t xml:space="preserve">many </w:t>
      </w:r>
      <w:r>
        <w:t>have stated that they track gender</w:t>
      </w:r>
      <w:r w:rsidR="00165EEF">
        <w:t xml:space="preserve"> data across classifications (92</w:t>
      </w:r>
      <w:r>
        <w:t>%), geographical locations (72%)</w:t>
      </w:r>
      <w:r w:rsidR="00B16F67">
        <w:t>,</w:t>
      </w:r>
      <w:r>
        <w:t xml:space="preserve"> and job types (62%).</w:t>
      </w:r>
    </w:p>
    <w:p w14:paraId="4ACB7CC2" w14:textId="4D5E12F9" w:rsidR="00EE6A8A" w:rsidRDefault="00EE6A8A" w:rsidP="00EE6A8A">
      <w:r>
        <w:t xml:space="preserve">Agencies </w:t>
      </w:r>
      <w:r w:rsidR="00C3178F">
        <w:t>also</w:t>
      </w:r>
      <w:r>
        <w:t xml:space="preserve"> reported they collect and internally publish</w:t>
      </w:r>
      <w:r w:rsidR="00C4374B">
        <w:t xml:space="preserve"> gender</w:t>
      </w:r>
      <w:r>
        <w:t xml:space="preserve"> data disaggregated by employees with disability, </w:t>
      </w:r>
      <w:r w:rsidR="4C8470DF">
        <w:t xml:space="preserve">and </w:t>
      </w:r>
      <w:r>
        <w:t>First Nations</w:t>
      </w:r>
      <w:r w:rsidR="005D0248">
        <w:t>,</w:t>
      </w:r>
      <w:r>
        <w:t xml:space="preserve"> and </w:t>
      </w:r>
      <w:r w:rsidR="003A0B5C">
        <w:t>CALD</w:t>
      </w:r>
      <w:r>
        <w:t xml:space="preserve"> representation</w:t>
      </w:r>
      <w:r w:rsidR="63C9C84A">
        <w:t>s</w:t>
      </w:r>
      <w:r>
        <w:t xml:space="preserve"> </w:t>
      </w:r>
      <w:r w:rsidR="001D22DD">
        <w:t>(</w:t>
      </w:r>
      <w:r>
        <w:fldChar w:fldCharType="begin"/>
      </w:r>
      <w:r>
        <w:instrText xml:space="preserve"> REF _Ref167981282 \h </w:instrText>
      </w:r>
      <w:r>
        <w:fldChar w:fldCharType="separate"/>
      </w:r>
      <w:r w:rsidR="002B65E2">
        <w:t xml:space="preserve">Figure </w:t>
      </w:r>
      <w:r w:rsidR="002B65E2" w:rsidRPr="4CB53FC1">
        <w:rPr>
          <w:noProof/>
        </w:rPr>
        <w:t>22</w:t>
      </w:r>
      <w:r>
        <w:fldChar w:fldCharType="end"/>
      </w:r>
      <w:r>
        <w:t>)</w:t>
      </w:r>
      <w:r w:rsidR="00C3178F">
        <w:t>.</w:t>
      </w:r>
    </w:p>
    <w:p w14:paraId="4E49962D" w14:textId="3383E37F" w:rsidR="00C351C8" w:rsidRPr="00210352" w:rsidRDefault="00EE6A8A" w:rsidP="00210352">
      <w:pPr>
        <w:pStyle w:val="Heading5"/>
      </w:pPr>
      <w:bookmarkStart w:id="1597" w:name="_Ref167981282"/>
      <w:bookmarkStart w:id="1598" w:name="_Toc168586023"/>
      <w:bookmarkStart w:id="1599" w:name="_Toc168586458"/>
      <w:bookmarkStart w:id="1600" w:name="_Toc169278416"/>
      <w:bookmarkStart w:id="1601" w:name="_Toc169536531"/>
      <w:bookmarkStart w:id="1602" w:name="_Toc169708612"/>
      <w:bookmarkStart w:id="1603" w:name="_Toc170138040"/>
      <w:bookmarkStart w:id="1604" w:name="_Toc170140113"/>
      <w:bookmarkStart w:id="1605" w:name="_Toc168405571"/>
      <w:bookmarkStart w:id="1606" w:name="_Toc168408720"/>
      <w:bookmarkStart w:id="1607" w:name="_Toc168411010"/>
      <w:bookmarkStart w:id="1608" w:name="_Toc168405870"/>
      <w:bookmarkStart w:id="1609" w:name="_Toc168473678"/>
      <w:bookmarkStart w:id="1610" w:name="_Toc168471576"/>
      <w:bookmarkStart w:id="1611" w:name="_Toc168484636"/>
      <w:bookmarkStart w:id="1612" w:name="_Toc168495105"/>
      <w:bookmarkStart w:id="1613" w:name="_Toc168495554"/>
      <w:bookmarkStart w:id="1614" w:name="_Toc173857144"/>
      <w:r w:rsidRPr="001D22DD">
        <w:lastRenderedPageBreak/>
        <w:t xml:space="preserve">Figure </w:t>
      </w:r>
      <w:r>
        <w:fldChar w:fldCharType="begin"/>
      </w:r>
      <w:r>
        <w:instrText>SEQ Figure \* ARABIC</w:instrText>
      </w:r>
      <w:r>
        <w:fldChar w:fldCharType="separate"/>
      </w:r>
      <w:r w:rsidR="002B65E2">
        <w:rPr>
          <w:noProof/>
        </w:rPr>
        <w:t>22</w:t>
      </w:r>
      <w:r>
        <w:fldChar w:fldCharType="end"/>
      </w:r>
      <w:bookmarkEnd w:id="1597"/>
      <w:r w:rsidRPr="001D22DD">
        <w:t xml:space="preserve"> </w:t>
      </w:r>
      <w:r w:rsidR="00C4374B">
        <w:t>Collected and published gender d</w:t>
      </w:r>
      <w:r w:rsidRPr="001D22DD">
        <w:t xml:space="preserve">ata by </w:t>
      </w:r>
      <w:r w:rsidR="004B0580" w:rsidRPr="001D22DD">
        <w:t>diversity groups</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0A0AF5C5" w14:textId="533B9961" w:rsidR="00210352" w:rsidRDefault="00210352" w:rsidP="6C889916">
      <w:pPr>
        <w:rPr>
          <w:sz w:val="18"/>
          <w:szCs w:val="18"/>
        </w:rPr>
      </w:pPr>
      <w:r>
        <w:rPr>
          <w:noProof/>
          <w:lang w:eastAsia="en-AU"/>
        </w:rPr>
        <w:drawing>
          <wp:inline distT="0" distB="0" distL="0" distR="0" wp14:anchorId="3077ED24" wp14:editId="1E9806EA">
            <wp:extent cx="5759450" cy="2880000"/>
            <wp:effectExtent l="0" t="0" r="0" b="0"/>
            <wp:docPr id="7" name="Chart 7" descr="Collected and published gender data by diversity groups" title="Figure 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52AF4089" w14:textId="3C159678" w:rsidR="00EE6A8A" w:rsidRPr="00876F89" w:rsidRDefault="001319A8" w:rsidP="00EE6A8A">
      <w:pPr>
        <w:rPr>
          <w:sz w:val="16"/>
          <w:szCs w:val="16"/>
        </w:rPr>
      </w:pPr>
      <w:r w:rsidRPr="00876F89">
        <w:rPr>
          <w:sz w:val="16"/>
          <w:szCs w:val="16"/>
        </w:rPr>
        <w:t xml:space="preserve">Source: 2024 </w:t>
      </w:r>
      <w:r w:rsidR="008A3BB3">
        <w:rPr>
          <w:sz w:val="16"/>
          <w:szCs w:val="16"/>
        </w:rPr>
        <w:t>GES</w:t>
      </w:r>
      <w:r w:rsidRPr="00876F89">
        <w:rPr>
          <w:sz w:val="16"/>
          <w:szCs w:val="16"/>
        </w:rPr>
        <w:t xml:space="preserve"> Survey</w:t>
      </w:r>
      <w:r w:rsidR="00876F89">
        <w:rPr>
          <w:sz w:val="16"/>
          <w:szCs w:val="16"/>
        </w:rPr>
        <w:t>.</w:t>
      </w:r>
    </w:p>
    <w:p w14:paraId="4499F85B" w14:textId="1EAE69A8" w:rsidR="00EE0334" w:rsidRPr="00C3178F" w:rsidRDefault="00EE6A8A" w:rsidP="00D07D4A">
      <w:r>
        <w:t>The other metrics that agencies collected and/or published varied widely</w:t>
      </w:r>
      <w:r w:rsidR="0066353B">
        <w:t xml:space="preserve"> and included</w:t>
      </w:r>
      <w:r w:rsidR="00652582">
        <w:t xml:space="preserve"> </w:t>
      </w:r>
      <w:r>
        <w:t>LGBTQIA+ status (19%), gender identity (14%), age (9%), carer responsibilities (8%), non-English speaking background (4%), neurodiversity (3%)</w:t>
      </w:r>
      <w:r w:rsidR="004D6DBA">
        <w:t>,</w:t>
      </w:r>
      <w:r>
        <w:t xml:space="preserve"> and place of birth (3%).</w:t>
      </w:r>
    </w:p>
    <w:p w14:paraId="3B8EDF66" w14:textId="291C7A15" w:rsidR="0009709A" w:rsidRDefault="0009709A" w:rsidP="009229F6">
      <w:pPr>
        <w:pStyle w:val="Heading2"/>
      </w:pPr>
      <w:bookmarkStart w:id="1615" w:name="_Toc169536922"/>
      <w:bookmarkStart w:id="1616" w:name="_Toc169708668"/>
      <w:bookmarkStart w:id="1617" w:name="_Toc170119712"/>
      <w:bookmarkStart w:id="1618" w:name="_Toc170138095"/>
      <w:bookmarkStart w:id="1619" w:name="_Toc170140168"/>
      <w:bookmarkStart w:id="1620" w:name="_Toc181715745"/>
      <w:r w:rsidRPr="0009709A">
        <w:t xml:space="preserve">Gender </w:t>
      </w:r>
      <w:r w:rsidR="00C44289">
        <w:t xml:space="preserve">representation across APS </w:t>
      </w:r>
      <w:r w:rsidR="005A7B5B">
        <w:t>c</w:t>
      </w:r>
      <w:r w:rsidR="00C44289">
        <w:t xml:space="preserve">lassification </w:t>
      </w:r>
      <w:r w:rsidR="005A7B5B">
        <w:t>l</w:t>
      </w:r>
      <w:r w:rsidR="00C44289">
        <w:t>evels</w:t>
      </w:r>
      <w:bookmarkEnd w:id="1615"/>
      <w:bookmarkEnd w:id="1616"/>
      <w:bookmarkEnd w:id="1617"/>
      <w:bookmarkEnd w:id="1618"/>
      <w:bookmarkEnd w:id="1619"/>
      <w:bookmarkEnd w:id="1620"/>
    </w:p>
    <w:p w14:paraId="5DB71482" w14:textId="52257186" w:rsidR="00D15AEB" w:rsidRDefault="00B14C5A" w:rsidP="00D15AEB">
      <w:r>
        <w:t>W</w:t>
      </w:r>
      <w:r w:rsidR="0009709A" w:rsidRPr="00A112D9">
        <w:t xml:space="preserve">omen </w:t>
      </w:r>
      <w:r w:rsidR="00AC0FBD">
        <w:t>mad</w:t>
      </w:r>
      <w:r w:rsidR="00CD3993">
        <w:t xml:space="preserve">e </w:t>
      </w:r>
      <w:r w:rsidR="0009709A" w:rsidRPr="00A112D9">
        <w:t>up over 60</w:t>
      </w:r>
      <w:r w:rsidR="0008312C">
        <w:t>%</w:t>
      </w:r>
      <w:r w:rsidR="0009709A" w:rsidRPr="00A112D9">
        <w:t xml:space="preserve"> of the </w:t>
      </w:r>
      <w:r w:rsidR="00CD3993">
        <w:t xml:space="preserve">APS </w:t>
      </w:r>
      <w:r w:rsidR="0009709A" w:rsidRPr="00A112D9">
        <w:t>workforce</w:t>
      </w:r>
      <w:r w:rsidR="00262557">
        <w:t xml:space="preserve"> in </w:t>
      </w:r>
      <w:r w:rsidR="00782753">
        <w:t>2023</w:t>
      </w:r>
      <w:r w:rsidR="001B5BBF">
        <w:t>, while men were 39%, and non-binary employees were 0.4%</w:t>
      </w:r>
      <w:r w:rsidR="00BC6355">
        <w:t>, based on APSED December 2023 data</w:t>
      </w:r>
      <w:r w:rsidR="00AB6AE4">
        <w:t>.</w:t>
      </w:r>
      <w:r w:rsidR="00C5609D">
        <w:t xml:space="preserve"> </w:t>
      </w:r>
      <w:r w:rsidR="00EE0334">
        <w:t>Women now comprise 54% of the total SES cohort</w:t>
      </w:r>
      <w:r w:rsidR="00C92D1C">
        <w:t xml:space="preserve">, which is a rise of </w:t>
      </w:r>
      <w:r w:rsidR="009628AA">
        <w:t>3</w:t>
      </w:r>
      <w:r w:rsidR="00C92D1C">
        <w:t xml:space="preserve"> percentage points since </w:t>
      </w:r>
      <w:r w:rsidR="00EE0334">
        <w:t>2021</w:t>
      </w:r>
      <w:r w:rsidR="00C92D1C">
        <w:t xml:space="preserve">. The APS has </w:t>
      </w:r>
      <w:r w:rsidR="00E10902">
        <w:t xml:space="preserve">achieved gender balance </w:t>
      </w:r>
      <w:r w:rsidR="00886816">
        <w:t xml:space="preserve">between </w:t>
      </w:r>
      <w:r w:rsidR="00EE0334">
        <w:t>men and women for the first time</w:t>
      </w:r>
      <w:r w:rsidR="00E10902">
        <w:t xml:space="preserve"> at every senior leadership level except for SES Band 3</w:t>
      </w:r>
      <w:r w:rsidR="00CA6DAB">
        <w:t xml:space="preserve">, where </w:t>
      </w:r>
      <w:r w:rsidR="00D15AEB">
        <w:t>women are</w:t>
      </w:r>
      <w:r w:rsidR="002E55A8">
        <w:t xml:space="preserve"> close to </w:t>
      </w:r>
      <w:r w:rsidR="00CA6DAB">
        <w:t>parity</w:t>
      </w:r>
      <w:r w:rsidR="00652582">
        <w:t xml:space="preserve"> </w:t>
      </w:r>
      <w:r w:rsidR="00180AAA" w:rsidRPr="003000A7">
        <w:t>(</w:t>
      </w:r>
      <w:r w:rsidR="00662243">
        <w:t xml:space="preserve">see </w:t>
      </w:r>
      <w:r w:rsidR="003000A7" w:rsidRPr="003000A7">
        <w:fldChar w:fldCharType="begin"/>
      </w:r>
      <w:r w:rsidR="003000A7" w:rsidRPr="003000A7">
        <w:instrText xml:space="preserve"> REF _Ref168664578 \h  \* MERGEFORMAT </w:instrText>
      </w:r>
      <w:r w:rsidR="003000A7" w:rsidRPr="003000A7">
        <w:fldChar w:fldCharType="separate"/>
      </w:r>
      <w:r w:rsidR="002B65E2">
        <w:t>Fi</w:t>
      </w:r>
      <w:r w:rsidR="002B65E2" w:rsidRPr="00A4232B">
        <w:t xml:space="preserve">gure </w:t>
      </w:r>
      <w:r w:rsidR="002B65E2">
        <w:rPr>
          <w:noProof/>
        </w:rPr>
        <w:t>23</w:t>
      </w:r>
      <w:r w:rsidR="003000A7" w:rsidRPr="003000A7">
        <w:fldChar w:fldCharType="end"/>
      </w:r>
      <w:r w:rsidR="003000A7">
        <w:t>)</w:t>
      </w:r>
      <w:r w:rsidR="00AB6AE4">
        <w:t>.</w:t>
      </w:r>
      <w:r w:rsidR="00DF7BAC">
        <w:rPr>
          <w:rStyle w:val="FootnoteReference"/>
        </w:rPr>
        <w:footnoteReference w:id="28"/>
      </w:r>
      <w:r w:rsidR="0066353B">
        <w:t xml:space="preserve"> T</w:t>
      </w:r>
      <w:r w:rsidR="00E97677">
        <w:t xml:space="preserve">he </w:t>
      </w:r>
      <w:r w:rsidR="00B235AE">
        <w:t>continued</w:t>
      </w:r>
      <w:r w:rsidR="00E97677">
        <w:t xml:space="preserve"> increase in women at leadership levels is expected to create a positive flow-on effect</w:t>
      </w:r>
      <w:r w:rsidR="00AB6AE4">
        <w:t>.</w:t>
      </w:r>
      <w:r w:rsidR="00E97677">
        <w:rPr>
          <w:rStyle w:val="FootnoteReference"/>
        </w:rPr>
        <w:footnoteReference w:id="29"/>
      </w:r>
    </w:p>
    <w:p w14:paraId="3D191C6D" w14:textId="4DB86681" w:rsidR="00EE0334" w:rsidRPr="00A4232B" w:rsidRDefault="003000A7" w:rsidP="00710C9A">
      <w:pPr>
        <w:pStyle w:val="Heading5"/>
      </w:pPr>
      <w:bookmarkStart w:id="1621" w:name="_Ref168664578"/>
      <w:bookmarkStart w:id="1622" w:name="_Toc169278417"/>
      <w:bookmarkStart w:id="1623" w:name="_Toc169536532"/>
      <w:bookmarkStart w:id="1624" w:name="_Toc169708613"/>
      <w:bookmarkStart w:id="1625" w:name="_Toc170138041"/>
      <w:bookmarkStart w:id="1626" w:name="_Toc170140114"/>
      <w:bookmarkStart w:id="1627" w:name="_Toc173857145"/>
      <w:r>
        <w:lastRenderedPageBreak/>
        <w:t>Fi</w:t>
      </w:r>
      <w:r w:rsidRPr="00A4232B">
        <w:t xml:space="preserve">gure </w:t>
      </w:r>
      <w:r>
        <w:fldChar w:fldCharType="begin"/>
      </w:r>
      <w:r>
        <w:instrText>SEQ Figure \* ARABIC</w:instrText>
      </w:r>
      <w:r>
        <w:fldChar w:fldCharType="separate"/>
      </w:r>
      <w:r w:rsidR="002B65E2">
        <w:rPr>
          <w:noProof/>
        </w:rPr>
        <w:t>23</w:t>
      </w:r>
      <w:r>
        <w:fldChar w:fldCharType="end"/>
      </w:r>
      <w:r w:rsidRPr="00A4232B">
        <w:t xml:space="preserve"> </w:t>
      </w:r>
      <w:r w:rsidR="00EE0334" w:rsidRPr="00A4232B">
        <w:t>Proportion of men and women at each APS classification level 2023</w:t>
      </w:r>
      <w:bookmarkEnd w:id="1621"/>
      <w:bookmarkEnd w:id="1622"/>
      <w:bookmarkEnd w:id="1623"/>
      <w:bookmarkEnd w:id="1624"/>
      <w:bookmarkEnd w:id="1625"/>
      <w:bookmarkEnd w:id="1626"/>
      <w:bookmarkEnd w:id="1627"/>
    </w:p>
    <w:p w14:paraId="110BA1B7" w14:textId="144E13F0" w:rsidR="007B3153" w:rsidRDefault="00EE0334" w:rsidP="007B3153">
      <w:r>
        <w:rPr>
          <w:noProof/>
          <w:lang w:eastAsia="en-AU"/>
        </w:rPr>
        <w:drawing>
          <wp:inline distT="0" distB="0" distL="0" distR="0" wp14:anchorId="31306CEE" wp14:editId="6179829D">
            <wp:extent cx="5759450" cy="3097530"/>
            <wp:effectExtent l="0" t="0" r="0" b="7620"/>
            <wp:docPr id="170548686" name="Chart 170548686" descr="Proportion of men and women at each APS classification level 2023" title="Figure 23 "/>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9CB02B8" w14:textId="7BB6D5E3" w:rsidR="00DD0231" w:rsidRPr="00B3388E" w:rsidDel="00D3389F" w:rsidRDefault="00837995" w:rsidP="00FE007D">
      <w:pPr>
        <w:rPr>
          <w:sz w:val="16"/>
          <w:szCs w:val="16"/>
        </w:rPr>
      </w:pPr>
      <w:r w:rsidRPr="00FC50BA">
        <w:rPr>
          <w:sz w:val="16"/>
        </w:rPr>
        <w:t xml:space="preserve">Source: </w:t>
      </w:r>
      <w:r w:rsidRPr="00FC50BA">
        <w:rPr>
          <w:sz w:val="16"/>
          <w:szCs w:val="16"/>
        </w:rPr>
        <w:t>Decemb</w:t>
      </w:r>
      <w:r w:rsidR="00180AAA">
        <w:rPr>
          <w:sz w:val="16"/>
          <w:szCs w:val="16"/>
        </w:rPr>
        <w:t>er 2023 APS Employment Database</w:t>
      </w:r>
      <w:r w:rsidR="00876F89">
        <w:rPr>
          <w:sz w:val="16"/>
          <w:szCs w:val="16"/>
        </w:rPr>
        <w:t>.</w:t>
      </w:r>
    </w:p>
    <w:p w14:paraId="1C6B4639" w14:textId="77777777" w:rsidR="00C92D1C" w:rsidRPr="00A72211" w:rsidRDefault="00C92D1C" w:rsidP="00C92D1C">
      <w:bookmarkStart w:id="1628" w:name="_Toc168405573"/>
      <w:bookmarkStart w:id="1629" w:name="_Toc168408722"/>
      <w:bookmarkStart w:id="1630" w:name="_Toc168411012"/>
      <w:bookmarkStart w:id="1631" w:name="_Toc168405872"/>
      <w:bookmarkStart w:id="1632" w:name="_Toc168473680"/>
      <w:bookmarkStart w:id="1633" w:name="_Toc168471578"/>
      <w:bookmarkStart w:id="1634" w:name="_Toc168484638"/>
      <w:bookmarkStart w:id="1635" w:name="_Toc168495107"/>
      <w:bookmarkStart w:id="1636" w:name="_Toc168495556"/>
      <w:r>
        <w:t xml:space="preserve">The increase of women at senior levels has been noted by individual agencies in the GES Survey as a positive change since the Strategy was published in 2021. For example: </w:t>
      </w:r>
    </w:p>
    <w:p w14:paraId="5A71BB51" w14:textId="0C274972" w:rsidR="00C92D1C" w:rsidRPr="0099448E" w:rsidRDefault="00C92D1C" w:rsidP="00C92D1C">
      <w:pPr>
        <w:ind w:left="720"/>
        <w:rPr>
          <w:color w:val="053A68" w:themeColor="text2"/>
          <w:sz w:val="26"/>
        </w:rPr>
      </w:pPr>
      <w:r w:rsidRPr="00B07088">
        <w:rPr>
          <w:color w:val="053A68" w:themeColor="text2"/>
          <w:sz w:val="26"/>
        </w:rPr>
        <w:t>The FWO has achieved 50% or greater representation of women in senior leadership positions, gender parity at all levels, and a gender pay gap of 2.5%, less than half the APS average of 5.2</w:t>
      </w:r>
      <w:r>
        <w:rPr>
          <w:color w:val="053A68" w:themeColor="text2"/>
          <w:sz w:val="26"/>
        </w:rPr>
        <w:t>%.</w:t>
      </w:r>
      <w:r w:rsidR="00286911">
        <w:rPr>
          <w:color w:val="053A68" w:themeColor="text2"/>
          <w:sz w:val="26"/>
        </w:rPr>
        <w:t xml:space="preserve"> (Fair Work Ombudsman)</w:t>
      </w:r>
    </w:p>
    <w:p w14:paraId="739D1E5E" w14:textId="75DB4F6E" w:rsidR="00C850D5" w:rsidRDefault="00FE007D" w:rsidP="00297A31">
      <w:r w:rsidRPr="00F50ECC">
        <w:t>At the individual classification level,</w:t>
      </w:r>
      <w:r w:rsidR="005411B5" w:rsidRPr="00F50ECC">
        <w:t xml:space="preserve"> </w:t>
      </w:r>
      <w:r w:rsidRPr="00F50ECC">
        <w:t xml:space="preserve">the </w:t>
      </w:r>
      <w:r w:rsidR="00B235AE">
        <w:t>proportion</w:t>
      </w:r>
      <w:r w:rsidRPr="00F50ECC">
        <w:t xml:space="preserve"> of women </w:t>
      </w:r>
      <w:r w:rsidR="005411B5" w:rsidRPr="00F50ECC">
        <w:t>has decrease</w:t>
      </w:r>
      <w:r w:rsidR="001B5BBF">
        <w:t>d</w:t>
      </w:r>
      <w:r w:rsidR="005411B5" w:rsidRPr="00F50ECC">
        <w:t xml:space="preserve"> at the APS2</w:t>
      </w:r>
      <w:r w:rsidR="00B235AE">
        <w:t xml:space="preserve"> to </w:t>
      </w:r>
      <w:r w:rsidR="005411B5" w:rsidRPr="00F50ECC">
        <w:t>APS4 leve</w:t>
      </w:r>
      <w:r w:rsidR="0001780F" w:rsidRPr="00F50ECC">
        <w:t>ls</w:t>
      </w:r>
      <w:r w:rsidR="00F50ECC">
        <w:t xml:space="preserve"> </w:t>
      </w:r>
      <w:r w:rsidR="003A4ADA">
        <w:t>between the years 2021 and 2023</w:t>
      </w:r>
      <w:r w:rsidR="00B235AE">
        <w:t xml:space="preserve">. </w:t>
      </w:r>
      <w:bookmarkEnd w:id="1628"/>
      <w:r w:rsidR="00E6546E">
        <w:t>R</w:t>
      </w:r>
      <w:r w:rsidR="00204C4D">
        <w:t xml:space="preserve">esearch </w:t>
      </w:r>
      <w:r w:rsidR="00132317">
        <w:t>conducted</w:t>
      </w:r>
      <w:r w:rsidR="00204C4D">
        <w:t xml:space="preserve"> by </w:t>
      </w:r>
      <w:proofErr w:type="spellStart"/>
      <w:r w:rsidR="00204C4D">
        <w:t>Breunig</w:t>
      </w:r>
      <w:proofErr w:type="spellEnd"/>
      <w:r w:rsidR="00204C4D">
        <w:t xml:space="preserve">, </w:t>
      </w:r>
      <w:proofErr w:type="spellStart"/>
      <w:r w:rsidR="00204C4D">
        <w:t>Hansell</w:t>
      </w:r>
      <w:proofErr w:type="spellEnd"/>
      <w:r w:rsidR="00204C4D">
        <w:t>, and Win (2023)</w:t>
      </w:r>
      <w:r w:rsidR="00E6546E">
        <w:t xml:space="preserve"> </w:t>
      </w:r>
      <w:r w:rsidR="00204C4D">
        <w:t xml:space="preserve">showed that </w:t>
      </w:r>
      <w:r w:rsidR="00C71D53">
        <w:t>promotion prospects for women employees in the APS has improved substantially over time at all levels</w:t>
      </w:r>
      <w:r w:rsidR="007D2149">
        <w:t>.</w:t>
      </w:r>
      <w:r w:rsidR="001A1D2E">
        <w:rPr>
          <w:rStyle w:val="FootnoteReference"/>
        </w:rPr>
        <w:footnoteReference w:id="30"/>
      </w:r>
      <w:r w:rsidR="001A1D2E">
        <w:t xml:space="preserve"> By 2020, women were as </w:t>
      </w:r>
      <w:r w:rsidR="00F50ECC" w:rsidRPr="00297A31">
        <w:t xml:space="preserve">likely </w:t>
      </w:r>
      <w:r w:rsidR="001A1D2E">
        <w:t>as men to be promoted at junior levels and more likely than men to be promoted at senior levels, controlling for a range of skills and experience.</w:t>
      </w:r>
      <w:r w:rsidR="003902D2">
        <w:t xml:space="preserve"> They argue that there is suggestive evidence </w:t>
      </w:r>
      <w:r w:rsidR="00F50ECC" w:rsidRPr="00297A31">
        <w:t xml:space="preserve">that </w:t>
      </w:r>
      <w:r w:rsidR="00F50ECC" w:rsidRPr="00BC04E9">
        <w:t xml:space="preserve">gender equity </w:t>
      </w:r>
      <w:r w:rsidR="003902D2">
        <w:t>strategies</w:t>
      </w:r>
      <w:r w:rsidR="00F50ECC" w:rsidRPr="00BC04E9">
        <w:t xml:space="preserve"> set by agencies </w:t>
      </w:r>
      <w:r w:rsidR="001B0F67">
        <w:t>have been</w:t>
      </w:r>
      <w:r w:rsidR="00F50ECC" w:rsidRPr="00BC04E9">
        <w:t xml:space="preserve"> </w:t>
      </w:r>
      <w:r w:rsidR="00055086" w:rsidRPr="00280026">
        <w:t>effective</w:t>
      </w:r>
      <w:r w:rsidR="00F50ECC" w:rsidRPr="00280026">
        <w:t xml:space="preserve"> </w:t>
      </w:r>
      <w:r w:rsidR="00055086" w:rsidRPr="00280026">
        <w:t>in</w:t>
      </w:r>
      <w:r w:rsidR="00F50ECC" w:rsidRPr="00280026">
        <w:t xml:space="preserve"> balanc</w:t>
      </w:r>
      <w:r w:rsidR="00055086" w:rsidRPr="00280026">
        <w:t>ing</w:t>
      </w:r>
      <w:r w:rsidR="00F50ECC" w:rsidRPr="00280026">
        <w:t xml:space="preserve"> gender diversity in senior positions</w:t>
      </w:r>
      <w:r w:rsidR="00C86A48">
        <w:t xml:space="preserve"> between women and men</w:t>
      </w:r>
      <w:r w:rsidR="00E6546E">
        <w:t>.</w:t>
      </w:r>
    </w:p>
    <w:p w14:paraId="02A0FEB8" w14:textId="0BA4789A" w:rsidR="00026127" w:rsidRDefault="000B2BED" w:rsidP="000B2BED">
      <w:pPr>
        <w:pStyle w:val="Heading2"/>
      </w:pPr>
      <w:bookmarkStart w:id="1637" w:name="_Toc165991688"/>
      <w:bookmarkStart w:id="1638" w:name="_Toc166082986"/>
      <w:bookmarkStart w:id="1639" w:name="_Toc166160350"/>
      <w:bookmarkStart w:id="1640" w:name="_Toc166168049"/>
      <w:bookmarkStart w:id="1641" w:name="_Toc168329215"/>
      <w:bookmarkStart w:id="1642" w:name="_Toc168322871"/>
      <w:bookmarkStart w:id="1643" w:name="_Toc168387988"/>
      <w:bookmarkStart w:id="1644" w:name="_Toc168405643"/>
      <w:bookmarkStart w:id="1645" w:name="_Toc168408681"/>
      <w:bookmarkStart w:id="1646" w:name="_Toc168411082"/>
      <w:bookmarkStart w:id="1647" w:name="_Toc168405941"/>
      <w:bookmarkStart w:id="1648" w:name="_Toc168473749"/>
      <w:bookmarkStart w:id="1649" w:name="_Toc168471647"/>
      <w:bookmarkStart w:id="1650" w:name="_Toc168484707"/>
      <w:bookmarkStart w:id="1651" w:name="_Toc168495175"/>
      <w:bookmarkStart w:id="1652" w:name="_Toc168495624"/>
      <w:bookmarkStart w:id="1653" w:name="_Toc169103292"/>
      <w:bookmarkStart w:id="1654" w:name="_Toc169104766"/>
      <w:bookmarkStart w:id="1655" w:name="_Toc169278482"/>
      <w:bookmarkStart w:id="1656" w:name="_Toc169536923"/>
      <w:bookmarkStart w:id="1657" w:name="_Toc169708669"/>
      <w:bookmarkStart w:id="1658" w:name="_Toc170119713"/>
      <w:bookmarkStart w:id="1659" w:name="_Toc170138096"/>
      <w:bookmarkStart w:id="1660" w:name="_Toc170140169"/>
      <w:bookmarkStart w:id="1661" w:name="_Toc181715746"/>
      <w:bookmarkEnd w:id="1629"/>
      <w:bookmarkEnd w:id="1630"/>
      <w:bookmarkEnd w:id="1631"/>
      <w:bookmarkEnd w:id="1632"/>
      <w:bookmarkEnd w:id="1633"/>
      <w:bookmarkEnd w:id="1634"/>
      <w:bookmarkEnd w:id="1635"/>
      <w:bookmarkEnd w:id="1636"/>
      <w:r>
        <w:t xml:space="preserve">Individual Flexibility </w:t>
      </w:r>
      <w:r w:rsidR="00C33A57">
        <w:t>Arrangement</w:t>
      </w:r>
      <w:r>
        <w:t xml:space="preserve"> (</w:t>
      </w:r>
      <w:r w:rsidR="000D4EA7">
        <w:t>IFA</w:t>
      </w:r>
      <w:r>
        <w:t>s) by gender</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7322CDE4" w14:textId="5921BFB7" w:rsidR="007567A6" w:rsidRDefault="001B2DF6" w:rsidP="00DE563C">
      <w:r>
        <w:t xml:space="preserve">The APSC </w:t>
      </w:r>
      <w:r w:rsidR="00DF231C">
        <w:t>publishes</w:t>
      </w:r>
      <w:r>
        <w:t xml:space="preserve"> </w:t>
      </w:r>
      <w:r w:rsidR="003A0B5C">
        <w:t>IFA</w:t>
      </w:r>
      <w:r w:rsidR="00DF231C">
        <w:t xml:space="preserve"> </w:t>
      </w:r>
      <w:r>
        <w:t xml:space="preserve">data </w:t>
      </w:r>
      <w:r w:rsidR="00DF231C">
        <w:t>each year in t</w:t>
      </w:r>
      <w:r>
        <w:t xml:space="preserve">he </w:t>
      </w:r>
      <w:r w:rsidR="006D2183">
        <w:t>APS</w:t>
      </w:r>
      <w:r>
        <w:t xml:space="preserve"> Remuneration Report.</w:t>
      </w:r>
      <w:r w:rsidR="007C7A49">
        <w:t xml:space="preserve"> </w:t>
      </w:r>
      <w:r w:rsidR="006D2183">
        <w:t>An IFA can b</w:t>
      </w:r>
      <w:r w:rsidR="00A2543F">
        <w:t>e</w:t>
      </w:r>
      <w:r w:rsidR="00B1760B">
        <w:t xml:space="preserve"> used to vary the effect of an e</w:t>
      </w:r>
      <w:r w:rsidR="00A2543F">
        <w:t>nterprise</w:t>
      </w:r>
      <w:r w:rsidR="0010641C">
        <w:t xml:space="preserve"> agreement </w:t>
      </w:r>
      <w:r w:rsidR="006D2183">
        <w:t xml:space="preserve">or award where agreed between the employer and </w:t>
      </w:r>
      <w:r w:rsidR="006D2183">
        <w:lastRenderedPageBreak/>
        <w:t>employee</w:t>
      </w:r>
      <w:r w:rsidR="0010641C">
        <w:t>,</w:t>
      </w:r>
      <w:r w:rsidR="006D2183">
        <w:t xml:space="preserve"> as long as the employee is better off overall</w:t>
      </w:r>
      <w:r w:rsidR="00AB6AE4">
        <w:t>.</w:t>
      </w:r>
      <w:r w:rsidR="006D2183">
        <w:rPr>
          <w:rStyle w:val="FootnoteReference"/>
        </w:rPr>
        <w:footnoteReference w:id="31"/>
      </w:r>
      <w:r w:rsidR="00BB6566">
        <w:t xml:space="preserve"> An IFA can </w:t>
      </w:r>
      <w:r w:rsidR="0010641C">
        <w:t>alter</w:t>
      </w:r>
      <w:r w:rsidR="00BB6566">
        <w:t xml:space="preserve"> a range of conditions such as pay and allowances, leave, income maintenance, flexible working arrangements, superannuation</w:t>
      </w:r>
      <w:r w:rsidR="00B1760B">
        <w:t>,</w:t>
      </w:r>
      <w:r w:rsidR="00BB6566">
        <w:t xml:space="preserve"> and subscriptions or memberships.</w:t>
      </w:r>
      <w:r w:rsidR="006D2183">
        <w:t xml:space="preserve"> </w:t>
      </w:r>
    </w:p>
    <w:p w14:paraId="7B1EC495" w14:textId="66B4D00D" w:rsidR="0090253A" w:rsidRDefault="00DF231C" w:rsidP="00DE563C">
      <w:r>
        <w:t xml:space="preserve">The total number of IFAs </w:t>
      </w:r>
      <w:r w:rsidR="00AE61F9">
        <w:t>held by APS employees</w:t>
      </w:r>
      <w:r>
        <w:t xml:space="preserve"> in </w:t>
      </w:r>
      <w:r w:rsidR="00E2476B">
        <w:t xml:space="preserve">2023 was </w:t>
      </w:r>
      <w:r w:rsidR="00985BCF">
        <w:t>4,847</w:t>
      </w:r>
      <w:r w:rsidR="00CC7145">
        <w:t>, an increase of 52</w:t>
      </w:r>
      <w:r w:rsidR="005C2992">
        <w:t xml:space="preserve">% compared to </w:t>
      </w:r>
      <w:r w:rsidR="00E2476B">
        <w:t>2021.</w:t>
      </w:r>
      <w:r w:rsidR="00F57B4D">
        <w:t xml:space="preserve"> </w:t>
      </w:r>
      <w:r w:rsidR="006D2183">
        <w:t xml:space="preserve">In </w:t>
      </w:r>
      <w:r w:rsidR="00F57B4D">
        <w:t>2023</w:t>
      </w:r>
      <w:r w:rsidR="002A24A9">
        <w:t>,</w:t>
      </w:r>
      <w:r w:rsidR="00391691">
        <w:t xml:space="preserve"> </w:t>
      </w:r>
      <w:r w:rsidR="00F857CB">
        <w:t>3.7</w:t>
      </w:r>
      <w:r w:rsidR="0090253A">
        <w:t xml:space="preserve">% </w:t>
      </w:r>
      <w:r w:rsidR="002A24A9">
        <w:t xml:space="preserve">of </w:t>
      </w:r>
      <w:r w:rsidR="008C053A">
        <w:t xml:space="preserve">male </w:t>
      </w:r>
      <w:r w:rsidR="008902CA">
        <w:t>employees</w:t>
      </w:r>
      <w:r w:rsidR="00391691">
        <w:t xml:space="preserve">, </w:t>
      </w:r>
      <w:r w:rsidR="008902CA">
        <w:t xml:space="preserve">2.4% of </w:t>
      </w:r>
      <w:r w:rsidR="008C053A">
        <w:t xml:space="preserve">female </w:t>
      </w:r>
      <w:r w:rsidR="008902CA">
        <w:t>employees, a</w:t>
      </w:r>
      <w:r w:rsidR="00391691">
        <w:t>nd</w:t>
      </w:r>
      <w:r w:rsidR="007B7399">
        <w:t xml:space="preserve"> 0.7% </w:t>
      </w:r>
      <w:r w:rsidR="002A24A9">
        <w:t>of</w:t>
      </w:r>
      <w:r w:rsidR="00391691">
        <w:t xml:space="preserve"> non-binary employees</w:t>
      </w:r>
      <w:r w:rsidR="00E2476B">
        <w:t xml:space="preserve"> entered into an IFA</w:t>
      </w:r>
      <w:r w:rsidR="0090253A">
        <w:t xml:space="preserve">. </w:t>
      </w:r>
      <w:r w:rsidR="00E2476B">
        <w:t>While the number of IFA</w:t>
      </w:r>
      <w:r w:rsidR="00C66B92">
        <w:t>s has</w:t>
      </w:r>
      <w:r w:rsidR="00E2476B">
        <w:t xml:space="preserve"> increased</w:t>
      </w:r>
      <w:r w:rsidR="00446417">
        <w:t xml:space="preserve"> </w:t>
      </w:r>
      <w:r w:rsidR="00C66B92">
        <w:t xml:space="preserve">since 2021, </w:t>
      </w:r>
      <w:r w:rsidR="00E2476B">
        <w:t xml:space="preserve">the difference between </w:t>
      </w:r>
      <w:r w:rsidR="00A90681">
        <w:t>employees</w:t>
      </w:r>
      <w:r w:rsidR="00446417">
        <w:t xml:space="preserve"> of different genders </w:t>
      </w:r>
      <w:r w:rsidR="00E2476B">
        <w:t>remained unchanged</w:t>
      </w:r>
      <w:r w:rsidR="008C053A">
        <w:t>.</w:t>
      </w:r>
      <w:r w:rsidR="0047679A">
        <w:t xml:space="preserve"> Future analysis will investigate whether these differences are caused by occupational factors, such as male employees being more prevalent within in-demand occupations.</w:t>
      </w:r>
    </w:p>
    <w:p w14:paraId="35BF7773" w14:textId="078B2C89" w:rsidR="00B728CA" w:rsidRDefault="00B728CA" w:rsidP="00B728CA">
      <w:pPr>
        <w:pStyle w:val="Heading2"/>
      </w:pPr>
      <w:bookmarkStart w:id="1662" w:name="_Ref167981661"/>
      <w:bookmarkStart w:id="1663" w:name="_Toc168329217"/>
      <w:bookmarkStart w:id="1664" w:name="_Toc168322873"/>
      <w:bookmarkStart w:id="1665" w:name="_Toc168387990"/>
      <w:bookmarkStart w:id="1666" w:name="_Toc168405645"/>
      <w:bookmarkStart w:id="1667" w:name="_Toc168408683"/>
      <w:bookmarkStart w:id="1668" w:name="_Toc168411085"/>
      <w:bookmarkStart w:id="1669" w:name="_Toc168405944"/>
      <w:bookmarkStart w:id="1670" w:name="_Toc168473752"/>
      <w:bookmarkStart w:id="1671" w:name="_Toc168471650"/>
      <w:bookmarkStart w:id="1672" w:name="_Toc168484710"/>
      <w:bookmarkStart w:id="1673" w:name="_Toc168495178"/>
      <w:bookmarkStart w:id="1674" w:name="_Toc168495627"/>
      <w:bookmarkStart w:id="1675" w:name="_Toc169103293"/>
      <w:bookmarkStart w:id="1676" w:name="_Toc169104767"/>
      <w:bookmarkStart w:id="1677" w:name="_Toc169278483"/>
      <w:bookmarkStart w:id="1678" w:name="_Toc169536924"/>
      <w:bookmarkStart w:id="1679" w:name="_Toc169708670"/>
      <w:bookmarkStart w:id="1680" w:name="_Toc170119714"/>
      <w:bookmarkStart w:id="1681" w:name="_Toc170138097"/>
      <w:bookmarkStart w:id="1682" w:name="_Toc170140170"/>
      <w:bookmarkStart w:id="1683" w:name="_Toc181715747"/>
      <w:bookmarkEnd w:id="1662"/>
      <w:r>
        <w:t>Gender dynamics in the APS workforce</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t xml:space="preserve"> </w:t>
      </w:r>
    </w:p>
    <w:p w14:paraId="68A8E80C" w14:textId="0331C9F4" w:rsidR="007D2149" w:rsidRDefault="008C053A" w:rsidP="00AE44AE">
      <w:r>
        <w:t>T</w:t>
      </w:r>
      <w:r w:rsidR="001D7484">
        <w:t xml:space="preserve">he APSC has pursued individual research projects </w:t>
      </w:r>
      <w:r>
        <w:t xml:space="preserve">utilising </w:t>
      </w:r>
      <w:r w:rsidR="003A3481">
        <w:t xml:space="preserve">APSC workforce data. </w:t>
      </w:r>
      <w:r w:rsidR="007D2149">
        <w:t>For example, t</w:t>
      </w:r>
      <w:r w:rsidR="27C7EC01">
        <w:t>he APSC has published</w:t>
      </w:r>
      <w:r w:rsidR="3695F8F7">
        <w:t xml:space="preserve"> a </w:t>
      </w:r>
      <w:hyperlink r:id="rId80">
        <w:r w:rsidR="3695F8F7" w:rsidRPr="2095CCB7">
          <w:rPr>
            <w:rStyle w:val="Hyperlink"/>
          </w:rPr>
          <w:t>drivers of the APS gender pay gap</w:t>
        </w:r>
      </w:hyperlink>
      <w:r w:rsidR="3695F8F7">
        <w:t xml:space="preserve"> report and a </w:t>
      </w:r>
      <w:hyperlink r:id="rId81">
        <w:r w:rsidR="3695F8F7" w:rsidRPr="2095CCB7">
          <w:rPr>
            <w:rStyle w:val="Hyperlink"/>
          </w:rPr>
          <w:t>follow up report</w:t>
        </w:r>
      </w:hyperlink>
      <w:r w:rsidR="3695F8F7">
        <w:t xml:space="preserve"> </w:t>
      </w:r>
      <w:r w:rsidR="27C7EC01">
        <w:t>to provide insight into what is driving the pay gap between women and men in the APS, with future analysis to include non-binary employee remuneration.</w:t>
      </w:r>
      <w:r w:rsidR="001B4463">
        <w:t xml:space="preserve"> The APSC has also </w:t>
      </w:r>
      <w:r w:rsidR="00370B76">
        <w:t xml:space="preserve">released several gender analyses as part of </w:t>
      </w:r>
      <w:r w:rsidR="008C15EB">
        <w:t xml:space="preserve">various </w:t>
      </w:r>
      <w:r w:rsidR="001B4463">
        <w:t>S</w:t>
      </w:r>
      <w:r w:rsidR="00370B76">
        <w:t>tate of the Service Reports</w:t>
      </w:r>
      <w:r w:rsidR="008C15EB">
        <w:t>.</w:t>
      </w:r>
      <w:r w:rsidR="008C15EB">
        <w:rPr>
          <w:rStyle w:val="FootnoteReference"/>
        </w:rPr>
        <w:footnoteReference w:id="32"/>
      </w:r>
    </w:p>
    <w:p w14:paraId="02E332E0" w14:textId="49DFC470" w:rsidR="0033599D" w:rsidRPr="0056509A" w:rsidRDefault="007D2149" w:rsidP="00AE44AE">
      <w:r>
        <w:t>T</w:t>
      </w:r>
      <w:r w:rsidR="00AE44AE">
        <w:t xml:space="preserve">he APSC has </w:t>
      </w:r>
      <w:r>
        <w:t xml:space="preserve">also </w:t>
      </w:r>
      <w:r w:rsidR="00AE44AE">
        <w:t xml:space="preserve">collaborated with </w:t>
      </w:r>
      <w:r w:rsidR="001D7484">
        <w:t>WGEA on</w:t>
      </w:r>
      <w:r w:rsidR="003A3481">
        <w:t xml:space="preserve"> the</w:t>
      </w:r>
      <w:r w:rsidR="004939BB">
        <w:t>ir</w:t>
      </w:r>
      <w:r w:rsidR="003A3481">
        <w:t xml:space="preserve"> </w:t>
      </w:r>
      <w:r w:rsidR="00A45803" w:rsidRPr="004939BB">
        <w:rPr>
          <w:i/>
        </w:rPr>
        <w:t>2022 Commonwealth Public Sector Gender Eq</w:t>
      </w:r>
      <w:r w:rsidR="003A3481" w:rsidRPr="004939BB">
        <w:rPr>
          <w:i/>
        </w:rPr>
        <w:t>uality Snapshot</w:t>
      </w:r>
      <w:r w:rsidR="27C7EC01">
        <w:t xml:space="preserve">, </w:t>
      </w:r>
      <w:r w:rsidR="00AE44AE">
        <w:t xml:space="preserve">with </w:t>
      </w:r>
      <w:r w:rsidR="003A3481">
        <w:t>W</w:t>
      </w:r>
      <w:r w:rsidR="001D7484">
        <w:t xml:space="preserve">GEA’s research </w:t>
      </w:r>
      <w:r w:rsidR="00AE44AE">
        <w:t xml:space="preserve">focused on </w:t>
      </w:r>
      <w:r w:rsidR="00046651">
        <w:t>better understanding gender dynamics in the APS workforce</w:t>
      </w:r>
      <w:r w:rsidR="00AB6AE4">
        <w:t>.</w:t>
      </w:r>
      <w:bookmarkStart w:id="1684" w:name="_Toc168405646"/>
      <w:r>
        <w:t xml:space="preserve"> Australian National University researchers </w:t>
      </w:r>
      <w:r w:rsidR="00810120">
        <w:t>have modelled</w:t>
      </w:r>
      <w:r>
        <w:t xml:space="preserve"> APS careers</w:t>
      </w:r>
      <w:r w:rsidR="00810120">
        <w:t xml:space="preserve"> utilising APSED data </w:t>
      </w:r>
      <w:r>
        <w:t>to investigate, among other things, the promotion prospects of women compared to men in the APS.</w:t>
      </w:r>
      <w:r>
        <w:rPr>
          <w:rStyle w:val="FootnoteReference"/>
        </w:rPr>
        <w:footnoteReference w:id="33"/>
      </w:r>
      <w:r w:rsidR="0033599D">
        <w:br w:type="page"/>
      </w:r>
    </w:p>
    <w:p w14:paraId="7A9991DA" w14:textId="4FDB3725" w:rsidR="009E0CEF" w:rsidRDefault="00AD42D7" w:rsidP="000773EC">
      <w:pPr>
        <w:pStyle w:val="Heading1"/>
      </w:pPr>
      <w:bookmarkStart w:id="1685" w:name="_Toc165991689"/>
      <w:bookmarkStart w:id="1686" w:name="_Toc166082987"/>
      <w:bookmarkStart w:id="1687" w:name="_Toc166160351"/>
      <w:bookmarkStart w:id="1688" w:name="_Toc166168050"/>
      <w:bookmarkStart w:id="1689" w:name="_Toc168329218"/>
      <w:bookmarkStart w:id="1690" w:name="_Toc168322874"/>
      <w:bookmarkStart w:id="1691" w:name="_Toc168387991"/>
      <w:bookmarkStart w:id="1692" w:name="_Toc168408684"/>
      <w:bookmarkStart w:id="1693" w:name="_Toc168411086"/>
      <w:bookmarkStart w:id="1694" w:name="_Toc168405945"/>
      <w:bookmarkStart w:id="1695" w:name="_Toc168473753"/>
      <w:bookmarkStart w:id="1696" w:name="_Toc168471651"/>
      <w:bookmarkStart w:id="1697" w:name="_Toc168484711"/>
      <w:bookmarkStart w:id="1698" w:name="_Toc168495179"/>
      <w:bookmarkStart w:id="1699" w:name="_Toc168495628"/>
      <w:bookmarkStart w:id="1700" w:name="_Toc169103294"/>
      <w:bookmarkStart w:id="1701" w:name="_Toc169104768"/>
      <w:bookmarkStart w:id="1702" w:name="_Toc169278484"/>
      <w:bookmarkStart w:id="1703" w:name="_Toc169536925"/>
      <w:bookmarkStart w:id="1704" w:name="_Toc169708671"/>
      <w:bookmarkStart w:id="1705" w:name="_Toc170119715"/>
      <w:bookmarkStart w:id="1706" w:name="_Toc170138098"/>
      <w:bookmarkStart w:id="1707" w:name="_Toc170140171"/>
      <w:bookmarkStart w:id="1708" w:name="_Toc181715748"/>
      <w:r>
        <w:lastRenderedPageBreak/>
        <w:t xml:space="preserve">Strategy impacts on </w:t>
      </w:r>
      <w:r w:rsidR="009E0CEF">
        <w:t>Action Area 6: Leveraging our external influence</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tbl>
      <w:tblPr>
        <w:tblStyle w:val="TableGrid"/>
        <w:tblW w:w="0" w:type="auto"/>
        <w:tblLook w:val="04A0" w:firstRow="1" w:lastRow="0" w:firstColumn="1" w:lastColumn="0" w:noHBand="0" w:noVBand="1"/>
        <w:tblCaption w:val="Strategy impacts on Action Area 6: Leveraging our external influence"/>
      </w:tblPr>
      <w:tblGrid>
        <w:gridCol w:w="3428"/>
        <w:gridCol w:w="1257"/>
        <w:gridCol w:w="4375"/>
      </w:tblGrid>
      <w:tr w:rsidR="005F6814" w:rsidRPr="009A4425" w14:paraId="0F59929F" w14:textId="77777777" w:rsidTr="00AD566C">
        <w:trPr>
          <w:trHeight w:val="432"/>
          <w:tblHeader/>
        </w:trPr>
        <w:tc>
          <w:tcPr>
            <w:tcW w:w="3428" w:type="dxa"/>
            <w:shd w:val="clear" w:color="auto" w:fill="4DA3AB" w:themeFill="accent1"/>
          </w:tcPr>
          <w:p w14:paraId="11B11551" w14:textId="77777777" w:rsidR="005F6814" w:rsidRPr="009A4425" w:rsidRDefault="005F6814" w:rsidP="005F6814">
            <w:pPr>
              <w:rPr>
                <w:b/>
                <w:sz w:val="24"/>
                <w:szCs w:val="24"/>
              </w:rPr>
            </w:pPr>
            <w:bookmarkStart w:id="1709" w:name="_Toc168329220"/>
            <w:bookmarkStart w:id="1710" w:name="_Toc168322876"/>
            <w:bookmarkStart w:id="1711" w:name="_Toc168387993"/>
            <w:bookmarkStart w:id="1712" w:name="_Toc168405648"/>
            <w:bookmarkStart w:id="1713" w:name="_Toc168408686"/>
            <w:bookmarkStart w:id="1714" w:name="_Toc168411088"/>
            <w:bookmarkStart w:id="1715" w:name="_Toc168405947"/>
            <w:bookmarkStart w:id="1716" w:name="_Toc168473755"/>
            <w:bookmarkStart w:id="1717" w:name="_Toc168471653"/>
            <w:bookmarkStart w:id="1718" w:name="_Toc168484713"/>
            <w:bookmarkStart w:id="1719" w:name="_Toc168495181"/>
            <w:bookmarkStart w:id="1720" w:name="_Toc168495630"/>
            <w:bookmarkStart w:id="1721" w:name="_Toc169103296"/>
            <w:bookmarkStart w:id="1722" w:name="_Toc169104770"/>
            <w:bookmarkStart w:id="1723" w:name="_Toc169278486"/>
            <w:bookmarkStart w:id="1724" w:name="_Toc169536927"/>
            <w:r w:rsidRPr="009A4425">
              <w:rPr>
                <w:b/>
                <w:sz w:val="24"/>
                <w:szCs w:val="24"/>
              </w:rPr>
              <w:t>Action</w:t>
            </w:r>
          </w:p>
        </w:tc>
        <w:tc>
          <w:tcPr>
            <w:tcW w:w="1257" w:type="dxa"/>
            <w:shd w:val="clear" w:color="auto" w:fill="4DA3AB" w:themeFill="accent1"/>
          </w:tcPr>
          <w:p w14:paraId="71946748" w14:textId="63685A5A" w:rsidR="005F6814" w:rsidRPr="009A4425" w:rsidRDefault="00D537F9" w:rsidP="2D07576E">
            <w:pPr>
              <w:rPr>
                <w:b/>
                <w:bCs/>
                <w:sz w:val="24"/>
                <w:szCs w:val="24"/>
              </w:rPr>
            </w:pPr>
            <w:r w:rsidRPr="2D07576E">
              <w:rPr>
                <w:b/>
                <w:bCs/>
                <w:sz w:val="24"/>
                <w:szCs w:val="24"/>
              </w:rPr>
              <w:t xml:space="preserve">Status </w:t>
            </w:r>
          </w:p>
        </w:tc>
        <w:tc>
          <w:tcPr>
            <w:tcW w:w="4375" w:type="dxa"/>
            <w:shd w:val="clear" w:color="auto" w:fill="4DA3AB" w:themeFill="accent1"/>
          </w:tcPr>
          <w:p w14:paraId="654B2865" w14:textId="77777777" w:rsidR="005F6814" w:rsidRPr="009A4425" w:rsidRDefault="005F6814" w:rsidP="005F6814">
            <w:pPr>
              <w:rPr>
                <w:b/>
                <w:sz w:val="24"/>
                <w:szCs w:val="24"/>
              </w:rPr>
            </w:pPr>
            <w:r w:rsidRPr="009A4425">
              <w:rPr>
                <w:b/>
                <w:sz w:val="24"/>
                <w:szCs w:val="24"/>
              </w:rPr>
              <w:t xml:space="preserve">Key </w:t>
            </w:r>
            <w:r>
              <w:rPr>
                <w:b/>
                <w:sz w:val="24"/>
                <w:szCs w:val="24"/>
              </w:rPr>
              <w:t>points</w:t>
            </w:r>
          </w:p>
        </w:tc>
      </w:tr>
      <w:tr w:rsidR="005F6814" w14:paraId="76513C80" w14:textId="77777777" w:rsidTr="2D07576E">
        <w:trPr>
          <w:trHeight w:val="2870"/>
        </w:trPr>
        <w:tc>
          <w:tcPr>
            <w:tcW w:w="3428" w:type="dxa"/>
            <w:shd w:val="clear" w:color="auto" w:fill="auto"/>
          </w:tcPr>
          <w:p w14:paraId="7A5A8EC3" w14:textId="77777777" w:rsidR="005F6814" w:rsidRDefault="005F6814" w:rsidP="005F6814">
            <w:r>
              <w:rPr>
                <w:b/>
              </w:rPr>
              <w:t>(</w:t>
            </w:r>
            <w:r w:rsidRPr="00F80EBD">
              <w:rPr>
                <w:b/>
              </w:rPr>
              <w:t>Minimum standard)</w:t>
            </w:r>
            <w:r>
              <w:t xml:space="preserve"> Agencies will drive change beyond the workplace through: </w:t>
            </w:r>
          </w:p>
          <w:p w14:paraId="7F23C719" w14:textId="77777777" w:rsidR="005F6814" w:rsidRPr="00333B5B" w:rsidRDefault="005F6814" w:rsidP="00F9645E">
            <w:pPr>
              <w:pStyle w:val="BulletLevel1"/>
              <w:numPr>
                <w:ilvl w:val="0"/>
                <w:numId w:val="44"/>
              </w:numPr>
            </w:pPr>
            <w:r>
              <w:t xml:space="preserve">Agency heads and senior leaders </w:t>
            </w:r>
            <w:r w:rsidRPr="00590B00">
              <w:t xml:space="preserve">speaking about gender equality at public engagements </w:t>
            </w:r>
          </w:p>
          <w:p w14:paraId="1347A760" w14:textId="77777777" w:rsidR="005F6814" w:rsidRPr="006E644B" w:rsidRDefault="005F6814" w:rsidP="00F9645E">
            <w:pPr>
              <w:pStyle w:val="BulletLevel1"/>
              <w:numPr>
                <w:ilvl w:val="0"/>
                <w:numId w:val="44"/>
              </w:numPr>
            </w:pPr>
            <w:r>
              <w:t xml:space="preserve">Using all avenues to </w:t>
            </w:r>
            <w:r w:rsidRPr="00590B00">
              <w:t>continue to promote gender equality, including through suppliers.</w:t>
            </w:r>
            <w:r w:rsidRPr="00333B5B">
              <w:rPr>
                <w:b/>
                <w:bCs/>
              </w:rPr>
              <w:t xml:space="preserve"> </w:t>
            </w:r>
          </w:p>
          <w:p w14:paraId="1FDD430C" w14:textId="0760451A" w:rsidR="005F6814" w:rsidRDefault="005F6814" w:rsidP="006E644B">
            <w:pPr>
              <w:pStyle w:val="BulletLevel1"/>
              <w:ind w:left="360" w:firstLine="0"/>
            </w:pPr>
          </w:p>
        </w:tc>
        <w:tc>
          <w:tcPr>
            <w:tcW w:w="1257" w:type="dxa"/>
            <w:shd w:val="clear" w:color="auto" w:fill="auto"/>
          </w:tcPr>
          <w:p w14:paraId="0661F316" w14:textId="77777777" w:rsidR="005F6814" w:rsidRPr="00CB1F5C" w:rsidRDefault="005F6814" w:rsidP="005F6814">
            <w:pPr>
              <w:rPr>
                <w:b/>
              </w:rPr>
            </w:pPr>
            <w:r>
              <w:rPr>
                <w:b/>
              </w:rPr>
              <w:t>Progress made</w:t>
            </w:r>
          </w:p>
          <w:p w14:paraId="76B750A8" w14:textId="77777777" w:rsidR="005F6814" w:rsidRPr="00CB1F5C" w:rsidRDefault="005F6814" w:rsidP="005F6814">
            <w:pPr>
              <w:rPr>
                <w:b/>
              </w:rPr>
            </w:pPr>
          </w:p>
          <w:p w14:paraId="719E29AD" w14:textId="77777777" w:rsidR="005F6814" w:rsidRPr="00CB1F5C" w:rsidRDefault="005F6814" w:rsidP="005F6814">
            <w:pPr>
              <w:rPr>
                <w:b/>
              </w:rPr>
            </w:pPr>
          </w:p>
        </w:tc>
        <w:tc>
          <w:tcPr>
            <w:tcW w:w="4375" w:type="dxa"/>
            <w:shd w:val="clear" w:color="auto" w:fill="auto"/>
          </w:tcPr>
          <w:p w14:paraId="5BB1BA5F" w14:textId="6DEF2262" w:rsidR="005F6814" w:rsidRDefault="008F3DEA" w:rsidP="00F9645E">
            <w:pPr>
              <w:pStyle w:val="BulletLevel1"/>
              <w:numPr>
                <w:ilvl w:val="0"/>
                <w:numId w:val="34"/>
              </w:numPr>
              <w:spacing w:before="0"/>
              <w:ind w:left="357" w:hanging="357"/>
            </w:pPr>
            <w:r>
              <w:t xml:space="preserve">60% of </w:t>
            </w:r>
            <w:r w:rsidR="005F6814">
              <w:t>agencies</w:t>
            </w:r>
            <w:r w:rsidR="009F7072">
              <w:t xml:space="preserve"> that responded to the GES Survey</w:t>
            </w:r>
            <w:r w:rsidR="005F6814">
              <w:t xml:space="preserve"> reported their leaders had spoken about gender equality at public engagements.</w:t>
            </w:r>
          </w:p>
          <w:p w14:paraId="4C47B756" w14:textId="21CC8A5E" w:rsidR="005F6814" w:rsidRDefault="005F6814" w:rsidP="00F9645E">
            <w:pPr>
              <w:pStyle w:val="BulletLevel1"/>
              <w:numPr>
                <w:ilvl w:val="0"/>
                <w:numId w:val="34"/>
              </w:numPr>
              <w:spacing w:before="0"/>
              <w:ind w:left="357" w:hanging="357"/>
            </w:pPr>
            <w:r>
              <w:t xml:space="preserve">Certain Request for Tenders responses must demonstrate compliance with the </w:t>
            </w:r>
            <w:r w:rsidRPr="2D07576E">
              <w:rPr>
                <w:i/>
                <w:iCs/>
              </w:rPr>
              <w:t xml:space="preserve">Workplace Gender Equality Act 2012 </w:t>
            </w:r>
            <w:r>
              <w:t xml:space="preserve">by supplying a letter of compliance either with their submission or before </w:t>
            </w:r>
            <w:r w:rsidR="1C9497F3">
              <w:t>entering</w:t>
            </w:r>
            <w:r>
              <w:t xml:space="preserve"> a contract.</w:t>
            </w:r>
          </w:p>
        </w:tc>
      </w:tr>
      <w:tr w:rsidR="005F6814" w14:paraId="7AA4B2C6" w14:textId="77777777" w:rsidTr="2D07576E">
        <w:trPr>
          <w:trHeight w:val="2685"/>
        </w:trPr>
        <w:tc>
          <w:tcPr>
            <w:tcW w:w="3428" w:type="dxa"/>
            <w:shd w:val="clear" w:color="auto" w:fill="auto"/>
          </w:tcPr>
          <w:p w14:paraId="258AE7AC" w14:textId="77777777" w:rsidR="005F6814" w:rsidRPr="00333B5B" w:rsidRDefault="005F6814" w:rsidP="005F6814">
            <w:pPr>
              <w:rPr>
                <w:b/>
              </w:rPr>
            </w:pPr>
            <w:r>
              <w:rPr>
                <w:b/>
              </w:rPr>
              <w:t xml:space="preserve">6A </w:t>
            </w:r>
            <w:r>
              <w:t xml:space="preserve">Agencies will continue to progressively embed or strengthen gender equality outcomes in the course of their everyday work. This includes considering how policy development and service delivery design may impact genders differently. </w:t>
            </w:r>
          </w:p>
          <w:p w14:paraId="5CE67DFC" w14:textId="77777777" w:rsidR="005F6814" w:rsidRPr="00333B5B" w:rsidRDefault="005F6814" w:rsidP="005F6814">
            <w:pPr>
              <w:rPr>
                <w:b/>
              </w:rPr>
            </w:pPr>
          </w:p>
        </w:tc>
        <w:tc>
          <w:tcPr>
            <w:tcW w:w="1257" w:type="dxa"/>
            <w:shd w:val="clear" w:color="auto" w:fill="auto"/>
          </w:tcPr>
          <w:p w14:paraId="117C17D9" w14:textId="77777777" w:rsidR="005F6814" w:rsidRPr="00CB1F5C" w:rsidRDefault="005F6814" w:rsidP="005F6814">
            <w:pPr>
              <w:rPr>
                <w:b/>
              </w:rPr>
            </w:pPr>
            <w:r>
              <w:rPr>
                <w:b/>
              </w:rPr>
              <w:t>Progress made</w:t>
            </w:r>
          </w:p>
        </w:tc>
        <w:tc>
          <w:tcPr>
            <w:tcW w:w="4375" w:type="dxa"/>
            <w:shd w:val="clear" w:color="auto" w:fill="auto"/>
          </w:tcPr>
          <w:p w14:paraId="60AB9781" w14:textId="044E5040" w:rsidR="005F6814" w:rsidRDefault="005F6814" w:rsidP="00F9645E">
            <w:pPr>
              <w:pStyle w:val="BulletLevel1"/>
              <w:numPr>
                <w:ilvl w:val="0"/>
                <w:numId w:val="34"/>
              </w:numPr>
              <w:spacing w:before="0"/>
              <w:ind w:left="357" w:hanging="357"/>
            </w:pPr>
            <w:r>
              <w:t>From</w:t>
            </w:r>
            <w:r w:rsidRPr="006E5BB4">
              <w:t xml:space="preserve"> </w:t>
            </w:r>
            <w:r w:rsidR="00420286">
              <w:t xml:space="preserve">the </w:t>
            </w:r>
            <w:r>
              <w:t>2023-24 Mid-Year Economic and Fiscal Outlook, gender</w:t>
            </w:r>
            <w:r w:rsidRPr="00471629">
              <w:t xml:space="preserve"> responsive budgeting </w:t>
            </w:r>
            <w:r w:rsidR="005859D6">
              <w:t>was applied</w:t>
            </w:r>
            <w:r>
              <w:t xml:space="preserve"> </w:t>
            </w:r>
            <w:r w:rsidRPr="00471629">
              <w:t>across the budget process, embedding gender analysis in all budget decision making</w:t>
            </w:r>
            <w:r>
              <w:t>.</w:t>
            </w:r>
          </w:p>
          <w:p w14:paraId="3BD3D819" w14:textId="77777777" w:rsidR="005F6814" w:rsidRDefault="005F6814" w:rsidP="00F9645E">
            <w:pPr>
              <w:pStyle w:val="BulletLevel1"/>
              <w:numPr>
                <w:ilvl w:val="0"/>
                <w:numId w:val="34"/>
              </w:numPr>
              <w:spacing w:before="0"/>
              <w:ind w:left="357" w:hanging="357"/>
            </w:pPr>
            <w:r>
              <w:t>All agencies are to undertake gender analysis on new policy proposals, and some will provide gender impact assessments.</w:t>
            </w:r>
          </w:p>
          <w:p w14:paraId="31E00821" w14:textId="7AA58B09" w:rsidR="005F6814" w:rsidRDefault="005F6814" w:rsidP="006E644B">
            <w:pPr>
              <w:pStyle w:val="BulletLevel1"/>
              <w:spacing w:before="0"/>
              <w:ind w:left="357" w:firstLine="0"/>
            </w:pPr>
          </w:p>
        </w:tc>
      </w:tr>
      <w:tr w:rsidR="005F6814" w14:paraId="1BBE2214" w14:textId="77777777" w:rsidTr="2D07576E">
        <w:trPr>
          <w:trHeight w:val="842"/>
        </w:trPr>
        <w:tc>
          <w:tcPr>
            <w:tcW w:w="3428" w:type="dxa"/>
            <w:shd w:val="clear" w:color="auto" w:fill="auto"/>
          </w:tcPr>
          <w:p w14:paraId="1B6B5F80" w14:textId="77777777" w:rsidR="005F6814" w:rsidRDefault="005F6814" w:rsidP="005F6814">
            <w:pPr>
              <w:rPr>
                <w:b/>
              </w:rPr>
            </w:pPr>
            <w:r>
              <w:rPr>
                <w:b/>
              </w:rPr>
              <w:t xml:space="preserve">6B </w:t>
            </w:r>
            <w:r>
              <w:t>Agencies will demonstrate leadership on gender equality beyond their workplace in their relationships with industry and communities.</w:t>
            </w:r>
          </w:p>
          <w:p w14:paraId="013B77DD" w14:textId="77777777" w:rsidR="005F6814" w:rsidRPr="00BC54CB" w:rsidRDefault="005F6814" w:rsidP="005F6814"/>
        </w:tc>
        <w:tc>
          <w:tcPr>
            <w:tcW w:w="1257" w:type="dxa"/>
            <w:shd w:val="clear" w:color="auto" w:fill="auto"/>
          </w:tcPr>
          <w:p w14:paraId="6171FBE6" w14:textId="77777777" w:rsidR="005F6814" w:rsidRPr="00CB1F5C" w:rsidRDefault="005F6814" w:rsidP="005F6814">
            <w:pPr>
              <w:rPr>
                <w:b/>
              </w:rPr>
            </w:pPr>
            <w:r>
              <w:rPr>
                <w:b/>
              </w:rPr>
              <w:t>Progress made</w:t>
            </w:r>
          </w:p>
        </w:tc>
        <w:tc>
          <w:tcPr>
            <w:tcW w:w="4375" w:type="dxa"/>
            <w:shd w:val="clear" w:color="auto" w:fill="auto"/>
          </w:tcPr>
          <w:p w14:paraId="7466830B" w14:textId="67350CBC" w:rsidR="005F6814" w:rsidRDefault="00E245E4" w:rsidP="00F9645E">
            <w:pPr>
              <w:pStyle w:val="BulletLevel1"/>
              <w:numPr>
                <w:ilvl w:val="0"/>
                <w:numId w:val="34"/>
              </w:numPr>
              <w:spacing w:before="0"/>
              <w:ind w:left="357" w:hanging="357"/>
            </w:pPr>
            <w:r>
              <w:t xml:space="preserve">67% of </w:t>
            </w:r>
            <w:r w:rsidR="009F7072">
              <w:t xml:space="preserve">responding </w:t>
            </w:r>
            <w:r>
              <w:t xml:space="preserve">agencies </w:t>
            </w:r>
            <w:r w:rsidR="005F6814">
              <w:t>reported ways in which they demonstrated leadership on gender equality with industry and communities.</w:t>
            </w:r>
          </w:p>
        </w:tc>
      </w:tr>
    </w:tbl>
    <w:p w14:paraId="4B1291B9" w14:textId="5459443B" w:rsidR="005E6EEA" w:rsidRDefault="005E6EEA" w:rsidP="005E6EEA">
      <w:pPr>
        <w:pStyle w:val="Heading2"/>
      </w:pPr>
      <w:bookmarkStart w:id="1725" w:name="_Toc169708672"/>
      <w:bookmarkStart w:id="1726" w:name="_Toc170119716"/>
      <w:bookmarkStart w:id="1727" w:name="_Toc170138099"/>
      <w:bookmarkStart w:id="1728" w:name="_Toc170140172"/>
      <w:bookmarkStart w:id="1729" w:name="_Toc181715749"/>
      <w:r>
        <w:t>Agencies demonstrating leadership on gender equality externally</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14F2F296" w14:textId="1522AB07" w:rsidR="009F7072" w:rsidRDefault="00C44171" w:rsidP="003447E7">
      <w:r>
        <w:t>A</w:t>
      </w:r>
      <w:r w:rsidR="00FC6E6D">
        <w:t xml:space="preserve"> </w:t>
      </w:r>
      <w:r w:rsidR="00A702F7">
        <w:t>considerable</w:t>
      </w:r>
      <w:r w:rsidR="00701CA8">
        <w:t xml:space="preserve"> proportion</w:t>
      </w:r>
      <w:r w:rsidR="00FC6E6D">
        <w:t xml:space="preserve"> of agencies </w:t>
      </w:r>
      <w:r w:rsidR="008C053A">
        <w:t xml:space="preserve">are </w:t>
      </w:r>
      <w:r w:rsidR="00476CB1">
        <w:t xml:space="preserve">actively driving gender equality </w:t>
      </w:r>
      <w:r w:rsidR="00FC6E6D">
        <w:t>beyond</w:t>
      </w:r>
      <w:r w:rsidR="006727AB">
        <w:t xml:space="preserve"> their </w:t>
      </w:r>
      <w:r w:rsidR="00FC6E6D">
        <w:t>workplaces</w:t>
      </w:r>
      <w:r w:rsidR="005E6EEA">
        <w:t>.</w:t>
      </w:r>
      <w:r>
        <w:t xml:space="preserve"> </w:t>
      </w:r>
      <w:r w:rsidR="00975A34">
        <w:t xml:space="preserve">60% of agencies reported through the </w:t>
      </w:r>
      <w:r w:rsidR="005E6EEA">
        <w:t xml:space="preserve">GES </w:t>
      </w:r>
      <w:r w:rsidR="00593AB7">
        <w:t>Survey</w:t>
      </w:r>
      <w:r w:rsidR="005E6EEA">
        <w:t xml:space="preserve"> </w:t>
      </w:r>
      <w:r w:rsidR="00975A34">
        <w:t xml:space="preserve">that </w:t>
      </w:r>
      <w:r>
        <w:t xml:space="preserve">their </w:t>
      </w:r>
      <w:r w:rsidR="006727AB">
        <w:t>leaders had spoken about gender equality at public engagements</w:t>
      </w:r>
      <w:r>
        <w:t>.</w:t>
      </w:r>
      <w:r w:rsidR="006727AB">
        <w:t xml:space="preserve"> </w:t>
      </w:r>
    </w:p>
    <w:p w14:paraId="0846E597" w14:textId="7C439805" w:rsidR="0096248F" w:rsidRPr="00A435AB" w:rsidRDefault="009F7072" w:rsidP="003447E7">
      <w:r>
        <w:t xml:space="preserve">67% of responding agencies reported ways in which they demonstrated leadership on gender equality with industry and communities. </w:t>
      </w:r>
      <w:r w:rsidR="00476CB1">
        <w:t>The</w:t>
      </w:r>
      <w:r>
        <w:t xml:space="preserve">se actions </w:t>
      </w:r>
      <w:r w:rsidR="0096248F">
        <w:t xml:space="preserve">are shown </w:t>
      </w:r>
      <w:r w:rsidR="0060630E">
        <w:t xml:space="preserve">in </w:t>
      </w:r>
      <w:r>
        <w:fldChar w:fldCharType="begin"/>
      </w:r>
      <w:r>
        <w:instrText xml:space="preserve"> REF _Ref169191007 \h  \* MERGEFORMAT </w:instrText>
      </w:r>
      <w:r>
        <w:fldChar w:fldCharType="separate"/>
      </w:r>
      <w:r w:rsidR="002B65E2">
        <w:t>Figure 24</w:t>
      </w:r>
      <w:r>
        <w:fldChar w:fldCharType="end"/>
      </w:r>
      <w:r>
        <w:t xml:space="preserve"> below</w:t>
      </w:r>
      <w:r>
        <w:fldChar w:fldCharType="begin"/>
      </w:r>
      <w:r>
        <w:instrText xml:space="preserve"> REF _Ref166511872 \h  \* MERGEFORMAT </w:instrText>
      </w:r>
      <w:r>
        <w:fldChar w:fldCharType="end"/>
      </w:r>
      <w:r w:rsidR="00663EEE">
        <w:t>.</w:t>
      </w:r>
      <w:r w:rsidR="00476CB1">
        <w:t xml:space="preserve"> </w:t>
      </w:r>
      <w:r w:rsidR="008C053A">
        <w:t>Around half (</w:t>
      </w:r>
      <w:r w:rsidR="00DE11AC">
        <w:t>52%</w:t>
      </w:r>
      <w:r w:rsidR="008C053A">
        <w:t>)</w:t>
      </w:r>
      <w:r w:rsidR="00DE11AC">
        <w:t xml:space="preserve"> of </w:t>
      </w:r>
      <w:r w:rsidR="008C053A">
        <w:t xml:space="preserve">the </w:t>
      </w:r>
      <w:r w:rsidR="00DE11AC">
        <w:t xml:space="preserve">agencies </w:t>
      </w:r>
      <w:r w:rsidR="005E6EEA">
        <w:t>reported</w:t>
      </w:r>
      <w:r w:rsidR="00183BA4">
        <w:t xml:space="preserve"> demonstrat</w:t>
      </w:r>
      <w:r w:rsidR="005E6EEA">
        <w:t>ing</w:t>
      </w:r>
      <w:r w:rsidR="00183BA4">
        <w:t xml:space="preserve"> leadership by</w:t>
      </w:r>
      <w:r w:rsidR="00412B40">
        <w:t xml:space="preserve"> supporting or</w:t>
      </w:r>
      <w:r w:rsidR="00183BA4">
        <w:t xml:space="preserve"> </w:t>
      </w:r>
      <w:r w:rsidR="00476CB1">
        <w:t xml:space="preserve">participating in </w:t>
      </w:r>
      <w:r w:rsidR="00183BA4">
        <w:t>presentations and panel discussion</w:t>
      </w:r>
      <w:r w:rsidR="295CF8E6">
        <w:t>s</w:t>
      </w:r>
      <w:r w:rsidR="00183BA4">
        <w:t xml:space="preserve"> at external engagement</w:t>
      </w:r>
      <w:r w:rsidR="005E6EEA">
        <w:t>s and</w:t>
      </w:r>
      <w:r w:rsidR="00183BA4">
        <w:t xml:space="preserve"> events</w:t>
      </w:r>
      <w:r w:rsidR="00412B40">
        <w:t>, including internationally</w:t>
      </w:r>
      <w:r w:rsidR="00183BA4">
        <w:t xml:space="preserve">. </w:t>
      </w:r>
      <w:r w:rsidR="00DE11AC">
        <w:t xml:space="preserve">19% </w:t>
      </w:r>
      <w:r w:rsidR="00720EE1">
        <w:t>mentioned they were active</w:t>
      </w:r>
      <w:r w:rsidR="00C7578B">
        <w:t xml:space="preserve"> participants</w:t>
      </w:r>
      <w:r w:rsidR="00720EE1">
        <w:t xml:space="preserve"> on broader networks and </w:t>
      </w:r>
      <w:r w:rsidR="50794D5A">
        <w:t>committees and</w:t>
      </w:r>
      <w:r w:rsidR="00720EE1">
        <w:t xml:space="preserve"> had formed partnerships with </w:t>
      </w:r>
      <w:r w:rsidR="00C7578B">
        <w:t>other agencies</w:t>
      </w:r>
      <w:r w:rsidR="00F724FA">
        <w:t xml:space="preserve"> to advance gender equality, while 18% of agencies had </w:t>
      </w:r>
      <w:r w:rsidR="00476CB1">
        <w:t xml:space="preserve">contributed </w:t>
      </w:r>
      <w:r w:rsidR="00F724FA">
        <w:t xml:space="preserve">to research, </w:t>
      </w:r>
      <w:r w:rsidR="1F98C688">
        <w:t>reports,</w:t>
      </w:r>
      <w:r w:rsidR="00F724FA">
        <w:t xml:space="preserve"> and other publications regarding leadership on gender quality.</w:t>
      </w:r>
      <w:r w:rsidR="00F83FFA">
        <w:t xml:space="preserve"> </w:t>
      </w:r>
      <w:r w:rsidR="00DE11AC">
        <w:t xml:space="preserve">11% </w:t>
      </w:r>
      <w:r w:rsidR="00F83FFA">
        <w:t xml:space="preserve">had mentioned actively promoting </w:t>
      </w:r>
      <w:r w:rsidR="00F83FFA">
        <w:lastRenderedPageBreak/>
        <w:t xml:space="preserve">women in </w:t>
      </w:r>
      <w:r w:rsidR="005E6EEA">
        <w:t xml:space="preserve">roles </w:t>
      </w:r>
      <w:r w:rsidR="00F83FFA">
        <w:t xml:space="preserve">traditionally dominated </w:t>
      </w:r>
      <w:r w:rsidR="005E6EEA">
        <w:t>by men</w:t>
      </w:r>
      <w:r w:rsidR="00F83FFA">
        <w:t xml:space="preserve"> and seeking representation of women on committees and panels as a way of demonstrating leadership on gender equality.</w:t>
      </w:r>
    </w:p>
    <w:p w14:paraId="665E6858" w14:textId="19A66EED" w:rsidR="0096248F" w:rsidRPr="00C57B00" w:rsidRDefault="00A4232B" w:rsidP="00CE3FE3">
      <w:pPr>
        <w:pStyle w:val="Heading5"/>
      </w:pPr>
      <w:bookmarkStart w:id="1730" w:name="_Ref166511872"/>
      <w:bookmarkStart w:id="1731" w:name="_Ref169191007"/>
      <w:bookmarkStart w:id="1732" w:name="_Toc168405579"/>
      <w:bookmarkStart w:id="1733" w:name="_Toc168408728"/>
      <w:bookmarkStart w:id="1734" w:name="_Toc168411018"/>
      <w:bookmarkStart w:id="1735" w:name="_Toc168405878"/>
      <w:bookmarkStart w:id="1736" w:name="_Toc168473686"/>
      <w:bookmarkStart w:id="1737" w:name="_Toc168471584"/>
      <w:bookmarkStart w:id="1738" w:name="_Toc168484644"/>
      <w:bookmarkStart w:id="1739" w:name="_Toc168495113"/>
      <w:bookmarkStart w:id="1740" w:name="_Toc168495562"/>
      <w:bookmarkStart w:id="1741" w:name="_Toc168586027"/>
      <w:bookmarkStart w:id="1742" w:name="_Toc168586462"/>
      <w:bookmarkStart w:id="1743" w:name="_Toc169278420"/>
      <w:bookmarkStart w:id="1744" w:name="_Toc169536535"/>
      <w:bookmarkStart w:id="1745" w:name="_Toc169708615"/>
      <w:bookmarkStart w:id="1746" w:name="_Toc170138042"/>
      <w:bookmarkStart w:id="1747" w:name="_Toc170140115"/>
      <w:bookmarkStart w:id="1748" w:name="_Toc173857146"/>
      <w:bookmarkEnd w:id="1730"/>
      <w:r w:rsidRPr="00A4232B">
        <w:rPr>
          <w:iCs/>
        </w:rPr>
        <w:t xml:space="preserve">Figure </w:t>
      </w:r>
      <w:r w:rsidRPr="00A4232B">
        <w:rPr>
          <w:iCs/>
        </w:rPr>
        <w:fldChar w:fldCharType="begin"/>
      </w:r>
      <w:r w:rsidRPr="00A4232B">
        <w:rPr>
          <w:iCs/>
        </w:rPr>
        <w:instrText xml:space="preserve"> SEQ Figure \* ARABIC </w:instrText>
      </w:r>
      <w:r w:rsidRPr="00A4232B">
        <w:rPr>
          <w:iCs/>
        </w:rPr>
        <w:fldChar w:fldCharType="separate"/>
      </w:r>
      <w:r w:rsidR="002B65E2">
        <w:rPr>
          <w:iCs/>
          <w:noProof/>
        </w:rPr>
        <w:t>24</w:t>
      </w:r>
      <w:r w:rsidRPr="00A4232B">
        <w:rPr>
          <w:iCs/>
        </w:rPr>
        <w:fldChar w:fldCharType="end"/>
      </w:r>
      <w:bookmarkEnd w:id="1731"/>
      <w:r w:rsidRPr="00A4232B">
        <w:rPr>
          <w:iCs/>
        </w:rPr>
        <w:t xml:space="preserve"> </w:t>
      </w:r>
      <w:r w:rsidR="0069030C" w:rsidRPr="00A4232B">
        <w:t>Ways agencies had demonstrated</w:t>
      </w:r>
      <w:r w:rsidR="0096248F" w:rsidRPr="00A4232B">
        <w:t xml:space="preserve"> leadership </w:t>
      </w:r>
      <w:r w:rsidR="005E6EEA">
        <w:t>on gender equality</w:t>
      </w:r>
      <w:r w:rsidR="0096248F" w:rsidRPr="00C57B00">
        <w:t xml:space="preserve"> beyond the workplace</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0096248F" w:rsidRPr="00C57B00">
        <w:t xml:space="preserve"> </w:t>
      </w:r>
    </w:p>
    <w:p w14:paraId="2AE82782" w14:textId="2C283F77" w:rsidR="00B350BB" w:rsidRDefault="00B350BB" w:rsidP="0096248F">
      <w:r>
        <w:rPr>
          <w:noProof/>
          <w:lang w:eastAsia="en-AU"/>
        </w:rPr>
        <w:drawing>
          <wp:inline distT="0" distB="0" distL="0" distR="0" wp14:anchorId="1F179525" wp14:editId="69B63CA2">
            <wp:extent cx="5759450" cy="3060000"/>
            <wp:effectExtent l="0" t="0" r="0" b="7620"/>
            <wp:docPr id="20" name="Chart 20" descr="Ways agencies had demonstrated leadership on gender equality beyond the workplace " title="Figure 24 "/>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4ECAB83C" w14:textId="24E77608" w:rsidR="00D74C3A" w:rsidRPr="00D74C3A" w:rsidRDefault="00D74C3A" w:rsidP="0096248F">
      <w:pPr>
        <w:rPr>
          <w:sz w:val="16"/>
          <w:szCs w:val="16"/>
        </w:rPr>
      </w:pPr>
      <w:r w:rsidRPr="005662A8">
        <w:rPr>
          <w:sz w:val="16"/>
          <w:szCs w:val="16"/>
        </w:rPr>
        <w:t xml:space="preserve">Source: </w:t>
      </w:r>
      <w:r w:rsidR="00876F89">
        <w:rPr>
          <w:sz w:val="16"/>
          <w:szCs w:val="16"/>
        </w:rPr>
        <w:t xml:space="preserve">2024 </w:t>
      </w:r>
      <w:r w:rsidR="008A3BB3">
        <w:rPr>
          <w:sz w:val="16"/>
          <w:szCs w:val="16"/>
        </w:rPr>
        <w:t>GES</w:t>
      </w:r>
      <w:r>
        <w:rPr>
          <w:sz w:val="16"/>
          <w:szCs w:val="16"/>
        </w:rPr>
        <w:t xml:space="preserve"> Survey</w:t>
      </w:r>
      <w:r w:rsidR="00876F89">
        <w:rPr>
          <w:sz w:val="16"/>
          <w:szCs w:val="16"/>
        </w:rPr>
        <w:t>.</w:t>
      </w:r>
    </w:p>
    <w:p w14:paraId="502FB283" w14:textId="17F508F0" w:rsidR="00315817" w:rsidRDefault="000615DB" w:rsidP="00315817">
      <w:r>
        <w:t>The Australian Electoral Commission</w:t>
      </w:r>
      <w:r w:rsidR="38E3C98D">
        <w:t>’s PIANZEA Network outlined below,</w:t>
      </w:r>
      <w:r>
        <w:t xml:space="preserve"> is a case study for how agencies can demonstrate leadership on gender equality externally</w:t>
      </w:r>
      <w:r w:rsidR="00315817">
        <w:t>:</w:t>
      </w:r>
    </w:p>
    <w:p w14:paraId="295BADFD" w14:textId="77777777" w:rsidR="00A03F3D" w:rsidRDefault="006C1BF1" w:rsidP="00577507">
      <w:pPr>
        <w:ind w:left="720"/>
        <w:rPr>
          <w:rFonts w:eastAsia="Times New Roman" w:cstheme="minorHAnsi"/>
          <w:color w:val="053A68" w:themeColor="text2"/>
          <w:sz w:val="26"/>
          <w:szCs w:val="26"/>
          <w:shd w:val="clear" w:color="auto" w:fill="FFFFFF"/>
        </w:rPr>
      </w:pPr>
      <w:r w:rsidRPr="00315817">
        <w:rPr>
          <w:rFonts w:eastAsia="Times New Roman" w:cstheme="minorHAnsi"/>
          <w:color w:val="053A68" w:themeColor="text2"/>
          <w:sz w:val="26"/>
          <w:szCs w:val="26"/>
          <w:shd w:val="clear" w:color="auto" w:fill="FFFFFF"/>
        </w:rPr>
        <w:t xml:space="preserve">The Pacific Islands, Australia, and New Zealand Electoral Administrators Network (PIANZEA), coordinated by the AEC, has contributed to electoral assistance and gender equality for its members for over 25 years and in 2019, PIANZEA made gender equality a key focus for the network. </w:t>
      </w:r>
    </w:p>
    <w:p w14:paraId="76F63EB0" w14:textId="4F346D8E" w:rsidR="00AD73B1" w:rsidRDefault="006C1BF1" w:rsidP="00577507">
      <w:pPr>
        <w:ind w:left="720"/>
        <w:rPr>
          <w:rFonts w:eastAsia="Times New Roman" w:cstheme="minorHAnsi"/>
          <w:color w:val="053A68" w:themeColor="text2"/>
          <w:sz w:val="26"/>
          <w:szCs w:val="26"/>
          <w:shd w:val="clear" w:color="auto" w:fill="FFFFFF"/>
        </w:rPr>
      </w:pPr>
      <w:r w:rsidRPr="00315817">
        <w:rPr>
          <w:rFonts w:eastAsia="Times New Roman" w:cstheme="minorHAnsi"/>
          <w:color w:val="053A68" w:themeColor="text2"/>
          <w:sz w:val="26"/>
          <w:szCs w:val="26"/>
          <w:shd w:val="clear" w:color="auto" w:fill="FFFFFF"/>
        </w:rPr>
        <w:t xml:space="preserve">The AEC has hosted the PIANZEA Secretariat and supported initiatives such as the </w:t>
      </w:r>
      <w:r w:rsidRPr="00D61846">
        <w:rPr>
          <w:rFonts w:eastAsia="Times New Roman" w:cstheme="minorHAnsi"/>
          <w:i/>
          <w:color w:val="053A68" w:themeColor="text2"/>
          <w:sz w:val="26"/>
          <w:szCs w:val="26"/>
          <w:shd w:val="clear" w:color="auto" w:fill="FFFFFF"/>
        </w:rPr>
        <w:t>Women in Election Management (WEM) Virtual Mentoring Program</w:t>
      </w:r>
      <w:r w:rsidRPr="00315817">
        <w:rPr>
          <w:rFonts w:eastAsia="Times New Roman" w:cstheme="minorHAnsi"/>
          <w:color w:val="053A68" w:themeColor="text2"/>
          <w:sz w:val="26"/>
          <w:szCs w:val="26"/>
          <w:shd w:val="clear" w:color="auto" w:fill="FFFFFF"/>
        </w:rPr>
        <w:t>, launched in 2021. This program connected female electoral officials from the Pacific with senior female staff from the AEC and New Zealand Electoral Commission, focusing on improving leadership, confidence, and technical skills through virtual mentoring.</w:t>
      </w:r>
    </w:p>
    <w:p w14:paraId="7AAD5FA6" w14:textId="3A187131" w:rsidR="00AD73B1" w:rsidRDefault="006C1BF1" w:rsidP="00577507">
      <w:pPr>
        <w:ind w:left="720"/>
        <w:rPr>
          <w:rFonts w:eastAsia="Times New Roman" w:cstheme="minorHAnsi"/>
          <w:color w:val="053A68" w:themeColor="text2"/>
          <w:sz w:val="26"/>
          <w:szCs w:val="26"/>
          <w:shd w:val="clear" w:color="auto" w:fill="FFFFFF"/>
        </w:rPr>
      </w:pPr>
      <w:r w:rsidRPr="00315817">
        <w:rPr>
          <w:rFonts w:eastAsia="Times New Roman" w:cstheme="minorHAnsi"/>
          <w:color w:val="053A68" w:themeColor="text2"/>
          <w:sz w:val="26"/>
          <w:szCs w:val="26"/>
          <w:shd w:val="clear" w:color="auto" w:fill="FFFFFF"/>
        </w:rPr>
        <w:t xml:space="preserve">Initially piloted with </w:t>
      </w:r>
      <w:r w:rsidR="00B54D2D">
        <w:rPr>
          <w:rFonts w:eastAsia="Times New Roman" w:cstheme="minorHAnsi"/>
          <w:color w:val="053A68" w:themeColor="text2"/>
          <w:sz w:val="26"/>
          <w:szCs w:val="26"/>
          <w:shd w:val="clear" w:color="auto" w:fill="FFFFFF"/>
        </w:rPr>
        <w:t>6</w:t>
      </w:r>
      <w:r w:rsidRPr="00315817">
        <w:rPr>
          <w:rFonts w:eastAsia="Times New Roman" w:cstheme="minorHAnsi"/>
          <w:color w:val="053A68" w:themeColor="text2"/>
          <w:sz w:val="26"/>
          <w:szCs w:val="26"/>
          <w:shd w:val="clear" w:color="auto" w:fill="FFFFFF"/>
        </w:rPr>
        <w:t xml:space="preserve"> mentor/mentee pairs, the program expanded in 2022 and continued to build strong professional relationships and enhance technical and leadership capacities among participants, with many indicating that their mentoring relationship will continue beyond the end of the formal program. Success stories include participants who advanced to significant leadership roles within their electoral management bodies, exemplifying the program’s impact. </w:t>
      </w:r>
    </w:p>
    <w:p w14:paraId="2DD7EF9C" w14:textId="308508BF" w:rsidR="006C1BF1" w:rsidRPr="00315817" w:rsidRDefault="006C1BF1" w:rsidP="00577507">
      <w:pPr>
        <w:ind w:left="720"/>
        <w:rPr>
          <w:rFonts w:cstheme="minorHAnsi"/>
          <w:color w:val="053A68" w:themeColor="text2"/>
          <w:sz w:val="26"/>
          <w:szCs w:val="26"/>
        </w:rPr>
      </w:pPr>
      <w:r w:rsidRPr="00315817">
        <w:rPr>
          <w:rFonts w:eastAsia="Times New Roman" w:cstheme="minorHAnsi"/>
          <w:color w:val="053A68" w:themeColor="text2"/>
          <w:sz w:val="26"/>
          <w:szCs w:val="26"/>
          <w:shd w:val="clear" w:color="auto" w:fill="FFFFFF"/>
        </w:rPr>
        <w:lastRenderedPageBreak/>
        <w:t>Looking ahead, the AEC plans to develop a WEM Community of Practice to foster ongoing support and collaboration among women in electoral roles across the PIANZEA Network.</w:t>
      </w:r>
    </w:p>
    <w:p w14:paraId="774A8B8C" w14:textId="65753B12" w:rsidR="00A112D9" w:rsidRDefault="007A134E" w:rsidP="007A134E">
      <w:pPr>
        <w:pStyle w:val="Heading2"/>
      </w:pPr>
      <w:bookmarkStart w:id="1749" w:name="_Toc165991693"/>
      <w:bookmarkStart w:id="1750" w:name="_Toc166082991"/>
      <w:bookmarkStart w:id="1751" w:name="_Toc166160355"/>
      <w:bookmarkStart w:id="1752" w:name="_Toc166168054"/>
      <w:bookmarkStart w:id="1753" w:name="_Toc168329221"/>
      <w:bookmarkStart w:id="1754" w:name="_Toc168322877"/>
      <w:bookmarkStart w:id="1755" w:name="_Toc168387994"/>
      <w:bookmarkStart w:id="1756" w:name="_Toc168405649"/>
      <w:bookmarkStart w:id="1757" w:name="_Toc168408687"/>
      <w:bookmarkStart w:id="1758" w:name="_Toc168411089"/>
      <w:bookmarkStart w:id="1759" w:name="_Toc168405948"/>
      <w:bookmarkStart w:id="1760" w:name="_Toc168473756"/>
      <w:bookmarkStart w:id="1761" w:name="_Toc168471654"/>
      <w:bookmarkStart w:id="1762" w:name="_Toc168484714"/>
      <w:bookmarkStart w:id="1763" w:name="_Toc168495182"/>
      <w:bookmarkStart w:id="1764" w:name="_Toc168495631"/>
      <w:bookmarkStart w:id="1765" w:name="_Toc169103297"/>
      <w:bookmarkStart w:id="1766" w:name="_Toc169104771"/>
      <w:bookmarkStart w:id="1767" w:name="_Toc169278487"/>
      <w:bookmarkStart w:id="1768" w:name="_Toc169536928"/>
      <w:bookmarkStart w:id="1769" w:name="_Toc169708673"/>
      <w:bookmarkStart w:id="1770" w:name="_Toc170119717"/>
      <w:bookmarkStart w:id="1771" w:name="_Toc170138100"/>
      <w:bookmarkStart w:id="1772" w:name="_Toc170140173"/>
      <w:bookmarkStart w:id="1773" w:name="_Toc181715750"/>
      <w:r>
        <w:t>Promoting gender equality through suppliers</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2C2C76DC" w14:textId="757B16EE" w:rsidR="007A134E" w:rsidRDefault="007A134E" w:rsidP="003447E7">
      <w:r w:rsidRPr="007A134E">
        <w:t xml:space="preserve">To be considered for Australian Government procurement contracts valued at or above the relevant procurement thresholds, certain </w:t>
      </w:r>
      <w:r w:rsidR="000B1A6B">
        <w:t>suppliers</w:t>
      </w:r>
      <w:r w:rsidR="000B1A6B" w:rsidRPr="007A134E">
        <w:t xml:space="preserve"> </w:t>
      </w:r>
      <w:r w:rsidRPr="007A134E">
        <w:t xml:space="preserve">(employers with 100 or more employees in Australia) </w:t>
      </w:r>
      <w:r w:rsidR="00A03F3D">
        <w:t xml:space="preserve">who respond to requests for tender </w:t>
      </w:r>
      <w:r w:rsidRPr="007A134E">
        <w:t>must be able to demonstrate they are compliant with the </w:t>
      </w:r>
      <w:r w:rsidRPr="3BEBFE99">
        <w:rPr>
          <w:i/>
          <w:iCs/>
        </w:rPr>
        <w:t>Workplace Gender Equality Act 2012</w:t>
      </w:r>
      <w:r w:rsidR="00A03F3D" w:rsidRPr="3BEBFE99">
        <w:rPr>
          <w:i/>
          <w:iCs/>
        </w:rPr>
        <w:t xml:space="preserve">, </w:t>
      </w:r>
      <w:r w:rsidRPr="007A134E">
        <w:t>by supplying a letter of compliance either with their submission to an approach to market or before entering into a contract.</w:t>
      </w:r>
      <w:r w:rsidR="004B7105">
        <w:rPr>
          <w:rStyle w:val="FootnoteReference"/>
        </w:rPr>
        <w:footnoteReference w:id="34"/>
      </w:r>
    </w:p>
    <w:p w14:paraId="5646C2BA" w14:textId="4A8036C3" w:rsidR="00581098" w:rsidRPr="006E5BB4" w:rsidRDefault="006E5BB4" w:rsidP="009229F6">
      <w:pPr>
        <w:pStyle w:val="Heading2"/>
      </w:pPr>
      <w:bookmarkStart w:id="1774" w:name="_Toc169536929"/>
      <w:bookmarkStart w:id="1775" w:name="_Toc169708674"/>
      <w:bookmarkStart w:id="1776" w:name="_Toc170119718"/>
      <w:bookmarkStart w:id="1777" w:name="_Toc170138101"/>
      <w:bookmarkStart w:id="1778" w:name="_Toc170140174"/>
      <w:bookmarkStart w:id="1779" w:name="_Toc181715751"/>
      <w:r w:rsidRPr="006E5BB4">
        <w:t>Gender impact assessments in budget proposals</w:t>
      </w:r>
      <w:bookmarkEnd w:id="1774"/>
      <w:bookmarkEnd w:id="1775"/>
      <w:bookmarkEnd w:id="1776"/>
      <w:bookmarkEnd w:id="1777"/>
      <w:bookmarkEnd w:id="1778"/>
      <w:bookmarkEnd w:id="1779"/>
    </w:p>
    <w:p w14:paraId="76C580EA" w14:textId="1F6083CE" w:rsidR="00A112D9" w:rsidRDefault="006E5BB4" w:rsidP="00701CA8">
      <w:r>
        <w:t>From</w:t>
      </w:r>
      <w:r w:rsidR="003E3F30">
        <w:t xml:space="preserve"> the</w:t>
      </w:r>
      <w:r>
        <w:t xml:space="preserve"> 2023-24 Mid-Year Economic and Fiscal Outlook</w:t>
      </w:r>
      <w:r w:rsidR="003F27A5">
        <w:t xml:space="preserve">, the </w:t>
      </w:r>
      <w:r w:rsidR="00550297">
        <w:t xml:space="preserve">Australian </w:t>
      </w:r>
      <w:r w:rsidR="003F27A5">
        <w:t>Government has applied</w:t>
      </w:r>
      <w:r>
        <w:t xml:space="preserve"> gender responsive budgeting across the budget process, embedding gender analysis in all budget decision making. All agencies</w:t>
      </w:r>
      <w:r w:rsidR="003E3F30">
        <w:t xml:space="preserve"> are to</w:t>
      </w:r>
      <w:r>
        <w:t xml:space="preserve"> undertake gender analysis on new policy </w:t>
      </w:r>
      <w:r w:rsidR="46F4189F">
        <w:t>proposals and</w:t>
      </w:r>
      <w:r>
        <w:t xml:space="preserve"> provide gender impact assessments where new policy proposals meet one or more criteria.</w:t>
      </w:r>
      <w:r w:rsidR="003F27A5">
        <w:t xml:space="preserve"> The criteria for </w:t>
      </w:r>
      <w:r w:rsidR="003E3F30">
        <w:t>conducting</w:t>
      </w:r>
      <w:r w:rsidR="003F27A5">
        <w:t xml:space="preserve"> a gender impact assessment are if the proposal:</w:t>
      </w:r>
    </w:p>
    <w:p w14:paraId="2E24934A" w14:textId="77777777" w:rsidR="003F27A5" w:rsidRDefault="003F27A5" w:rsidP="00F9645E">
      <w:pPr>
        <w:pStyle w:val="BulletLevel1"/>
        <w:numPr>
          <w:ilvl w:val="0"/>
          <w:numId w:val="37"/>
        </w:numPr>
        <w:rPr>
          <w:color w:val="auto"/>
        </w:rPr>
      </w:pPr>
      <w:r>
        <w:t>has a significant positive or negative impact on </w:t>
      </w:r>
      <w:r w:rsidRPr="00E57AA4">
        <w:t>gender equality</w:t>
      </w:r>
    </w:p>
    <w:p w14:paraId="4C334909" w14:textId="77777777" w:rsidR="003F27A5" w:rsidRDefault="003F27A5" w:rsidP="00F9645E">
      <w:pPr>
        <w:pStyle w:val="BulletLevel1"/>
        <w:numPr>
          <w:ilvl w:val="0"/>
          <w:numId w:val="37"/>
        </w:numPr>
      </w:pPr>
      <w:r>
        <w:t>targets </w:t>
      </w:r>
      <w:r w:rsidRPr="00E57AA4">
        <w:t>cohorts</w:t>
      </w:r>
      <w:r>
        <w:t> of people who can typically be disadvantaged</w:t>
      </w:r>
    </w:p>
    <w:p w14:paraId="6685BF3A" w14:textId="77777777" w:rsidR="003F27A5" w:rsidRDefault="003F27A5" w:rsidP="00F9645E">
      <w:pPr>
        <w:pStyle w:val="BulletLevel1"/>
        <w:numPr>
          <w:ilvl w:val="0"/>
          <w:numId w:val="37"/>
        </w:numPr>
      </w:pPr>
      <w:r>
        <w:t xml:space="preserve">relates to a </w:t>
      </w:r>
      <w:r w:rsidRPr="00E57AA4">
        <w:t>gender segregated industry</w:t>
      </w:r>
    </w:p>
    <w:p w14:paraId="3405EF8F" w14:textId="77777777" w:rsidR="003F27A5" w:rsidRDefault="003F27A5" w:rsidP="00F9645E">
      <w:pPr>
        <w:pStyle w:val="BulletLevel1"/>
        <w:numPr>
          <w:ilvl w:val="0"/>
          <w:numId w:val="37"/>
        </w:numPr>
      </w:pPr>
      <w:r>
        <w:t>establishes a </w:t>
      </w:r>
      <w:r w:rsidRPr="00E57AA4">
        <w:t>National Partnership</w:t>
      </w:r>
      <w:r>
        <w:t xml:space="preserve"> </w:t>
      </w:r>
      <w:r w:rsidRPr="00E57AA4">
        <w:t>Agreement</w:t>
      </w:r>
      <w:r>
        <w:t xml:space="preserve"> (or like agreement), or</w:t>
      </w:r>
    </w:p>
    <w:p w14:paraId="62C41278" w14:textId="06AD9B34" w:rsidR="003F27A5" w:rsidRDefault="003F27A5" w:rsidP="00F9645E">
      <w:pPr>
        <w:pStyle w:val="BulletLevel1"/>
        <w:numPr>
          <w:ilvl w:val="0"/>
          <w:numId w:val="37"/>
        </w:numPr>
      </w:pPr>
      <w:proofErr w:type="gramStart"/>
      <w:r>
        <w:t>if</w:t>
      </w:r>
      <w:proofErr w:type="gramEnd"/>
      <w:r>
        <w:t xml:space="preserve"> the total </w:t>
      </w:r>
      <w:r w:rsidRPr="00E57AA4">
        <w:t>value</w:t>
      </w:r>
      <w:r>
        <w:t> of the proposal is $250 million or more over the forward estimates.</w:t>
      </w:r>
    </w:p>
    <w:p w14:paraId="7BD27CAA" w14:textId="3A5802CC" w:rsidR="00550297" w:rsidRDefault="003F27A5" w:rsidP="00550297">
      <w:r>
        <w:t xml:space="preserve">The Office for Women </w:t>
      </w:r>
      <w:r w:rsidR="00701CA8">
        <w:t xml:space="preserve">(OFW) </w:t>
      </w:r>
      <w:r w:rsidR="00550297">
        <w:t xml:space="preserve">have </w:t>
      </w:r>
      <w:r>
        <w:t xml:space="preserve">produced a guide, </w:t>
      </w:r>
      <w:hyperlink r:id="rId83" w:history="1">
        <w:r>
          <w:rPr>
            <w:rStyle w:val="Hyperlink"/>
            <w:i/>
            <w:iCs/>
          </w:rPr>
          <w:t>Including Gender: An APS Guide to Gender Analysis and Gender Impact Assessment</w:t>
        </w:r>
      </w:hyperlink>
      <w:r>
        <w:t xml:space="preserve">, which provides information to assist policy makers </w:t>
      </w:r>
      <w:r w:rsidR="00902867">
        <w:t xml:space="preserve">in conducting </w:t>
      </w:r>
      <w:r>
        <w:t>gender analysis as part of developing a new policy proposal. This guide was published on the PM&amp;C website on 11 August 2023 and has been distributed to APS agencies</w:t>
      </w:r>
      <w:r w:rsidR="000A6026">
        <w:t>.</w:t>
      </w:r>
      <w:bookmarkStart w:id="1780" w:name="_Toc165991695"/>
      <w:bookmarkStart w:id="1781" w:name="_Toc166082993"/>
      <w:bookmarkStart w:id="1782" w:name="_Toc166160357"/>
      <w:bookmarkStart w:id="1783" w:name="_Toc166168056"/>
    </w:p>
    <w:p w14:paraId="4A0F856E" w14:textId="760506C7" w:rsidR="00543BCD" w:rsidRDefault="00543BCD" w:rsidP="004D1EF5">
      <w:pPr>
        <w:ind w:left="720"/>
      </w:pPr>
      <w:r>
        <w:br w:type="page"/>
      </w:r>
    </w:p>
    <w:p w14:paraId="18E1644C" w14:textId="7A91803F" w:rsidR="00B61704" w:rsidRDefault="00B61704" w:rsidP="00C20DE2">
      <w:pPr>
        <w:pStyle w:val="Sectionheading"/>
      </w:pPr>
      <w:bookmarkStart w:id="1784" w:name="_Toc168329222"/>
      <w:bookmarkStart w:id="1785" w:name="_Toc168322878"/>
      <w:bookmarkStart w:id="1786" w:name="_Toc168387995"/>
      <w:bookmarkStart w:id="1787" w:name="_Toc168405650"/>
      <w:bookmarkStart w:id="1788" w:name="_Toc168408688"/>
      <w:bookmarkStart w:id="1789" w:name="_Toc168411090"/>
      <w:bookmarkStart w:id="1790" w:name="_Toc168405949"/>
      <w:bookmarkStart w:id="1791" w:name="_Toc168473757"/>
      <w:bookmarkStart w:id="1792" w:name="_Toc168471655"/>
      <w:bookmarkStart w:id="1793" w:name="_Toc168484715"/>
      <w:bookmarkStart w:id="1794" w:name="_Toc168495183"/>
      <w:bookmarkStart w:id="1795" w:name="_Toc168495632"/>
      <w:bookmarkStart w:id="1796" w:name="_Toc169103298"/>
      <w:bookmarkStart w:id="1797" w:name="_Toc169104772"/>
      <w:bookmarkStart w:id="1798" w:name="_Toc169278488"/>
      <w:bookmarkStart w:id="1799" w:name="_Toc169533386"/>
      <w:bookmarkStart w:id="1800" w:name="_Toc169536930"/>
      <w:bookmarkStart w:id="1801" w:name="_Toc169708675"/>
      <w:bookmarkStart w:id="1802" w:name="_Toc170119719"/>
      <w:bookmarkStart w:id="1803" w:name="_Toc170138102"/>
      <w:bookmarkStart w:id="1804" w:name="_Toc170140175"/>
      <w:bookmarkStart w:id="1805" w:name="_Toc181715752"/>
      <w:r w:rsidRPr="00B61704">
        <w:lastRenderedPageBreak/>
        <w:t>Appendi</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00B44BBD">
        <w:t>x</w:t>
      </w:r>
      <w:r w:rsidR="00C20DE2">
        <w:t xml:space="preserve">: </w:t>
      </w:r>
      <w:bookmarkStart w:id="1806" w:name="_Toc165991696"/>
      <w:bookmarkStart w:id="1807" w:name="_Toc166082994"/>
      <w:bookmarkStart w:id="1808" w:name="_Toc166160358"/>
      <w:bookmarkStart w:id="1809" w:name="_Toc166168057"/>
      <w:bookmarkStart w:id="1810" w:name="_Toc168329223"/>
      <w:bookmarkStart w:id="1811" w:name="_Toc168322879"/>
      <w:bookmarkStart w:id="1812" w:name="_Toc168387996"/>
      <w:bookmarkStart w:id="1813" w:name="_Toc168405651"/>
      <w:bookmarkStart w:id="1814" w:name="_Toc168408689"/>
      <w:bookmarkStart w:id="1815" w:name="_Toc168411091"/>
      <w:bookmarkStart w:id="1816" w:name="_Toc168405950"/>
      <w:bookmarkStart w:id="1817" w:name="_Toc168473758"/>
      <w:bookmarkStart w:id="1818" w:name="_Toc168471656"/>
      <w:bookmarkStart w:id="1819" w:name="_Toc168484716"/>
      <w:bookmarkStart w:id="1820" w:name="_Toc168495184"/>
      <w:bookmarkStart w:id="1821" w:name="_Toc168495633"/>
      <w:bookmarkStart w:id="1822" w:name="_Toc169103299"/>
      <w:bookmarkStart w:id="1823" w:name="_Toc169104773"/>
      <w:bookmarkStart w:id="1824" w:name="_Toc169278489"/>
      <w:bookmarkEnd w:id="1780"/>
      <w:bookmarkEnd w:id="1781"/>
      <w:bookmarkEnd w:id="1782"/>
      <w:bookmarkEnd w:id="1783"/>
      <w:r w:rsidR="00F835CF">
        <w:t>APS Gender Equality Strategy Survey</w:t>
      </w:r>
      <w:r w:rsidR="00381868">
        <w:t xml:space="preserve"> questions</w:t>
      </w:r>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6059FAA8" w14:textId="77777777" w:rsidR="00381868" w:rsidRPr="00777043" w:rsidRDefault="00381868" w:rsidP="001926E2">
      <w:pPr>
        <w:rPr>
          <w:b/>
        </w:rPr>
      </w:pPr>
      <w:bookmarkStart w:id="1825" w:name="_Toc157595815"/>
      <w:bookmarkStart w:id="1826" w:name="_Toc165985819"/>
      <w:bookmarkStart w:id="1827" w:name="_Toc165991697"/>
      <w:bookmarkStart w:id="1828" w:name="_Toc166082995"/>
      <w:bookmarkStart w:id="1829" w:name="_Toc166160359"/>
      <w:bookmarkStart w:id="1830" w:name="_Toc166168058"/>
      <w:bookmarkStart w:id="1831" w:name="_Toc168329224"/>
      <w:bookmarkStart w:id="1832" w:name="_Toc168322880"/>
      <w:bookmarkStart w:id="1833" w:name="_Toc168387997"/>
      <w:bookmarkStart w:id="1834" w:name="_Toc168405652"/>
      <w:bookmarkStart w:id="1835" w:name="_Toc168408690"/>
      <w:bookmarkStart w:id="1836" w:name="_Toc168411092"/>
      <w:bookmarkStart w:id="1837" w:name="_Toc168405951"/>
      <w:bookmarkStart w:id="1838" w:name="_Toc168473759"/>
      <w:bookmarkStart w:id="1839" w:name="_Toc168471657"/>
      <w:bookmarkStart w:id="1840" w:name="_Toc168484717"/>
      <w:bookmarkStart w:id="1841" w:name="_Toc168495185"/>
      <w:bookmarkStart w:id="1842" w:name="_Toc168495634"/>
      <w:bookmarkStart w:id="1843" w:name="_Toc169103300"/>
      <w:bookmarkStart w:id="1844" w:name="_Toc169104774"/>
      <w:bookmarkStart w:id="1845" w:name="_Toc169278490"/>
      <w:r w:rsidRPr="00777043">
        <w:rPr>
          <w:b/>
        </w:rPr>
        <w:t>Agency policies, strategies, action plans, and other activities</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14:paraId="76F1E049" w14:textId="107D1040" w:rsidR="00381868" w:rsidRPr="00543FB5" w:rsidRDefault="00381868" w:rsidP="00777043">
      <w:pPr>
        <w:spacing w:after="240"/>
        <w:rPr>
          <w:szCs w:val="20"/>
        </w:rPr>
      </w:pPr>
      <w:r w:rsidRPr="00543FB5">
        <w:rPr>
          <w:szCs w:val="20"/>
        </w:rPr>
        <w:t xml:space="preserve">The </w:t>
      </w:r>
      <w:hyperlink r:id="rId84" w:history="1">
        <w:r w:rsidRPr="00543FB5">
          <w:rPr>
            <w:rStyle w:val="Hyperlink"/>
            <w:szCs w:val="20"/>
          </w:rPr>
          <w:t>Australian Public Service Gender Equality Strategy 2021-26</w:t>
        </w:r>
      </w:hyperlink>
      <w:r w:rsidRPr="00543FB5">
        <w:rPr>
          <w:szCs w:val="20"/>
        </w:rPr>
        <w:t xml:space="preserve"> has minimum standards for agencies to meet as a starting point or in refreshing current action plans on gender equality. This section focuses on policies, strategies, action plans, and other activities that address gender equality and topics associated with gender equality.</w:t>
      </w:r>
    </w:p>
    <w:p w14:paraId="383647E2" w14:textId="77777777" w:rsidR="00381868" w:rsidRPr="00543FB5" w:rsidRDefault="00381868" w:rsidP="00381868">
      <w:pPr>
        <w:pStyle w:val="ListNumber"/>
        <w:rPr>
          <w:sz w:val="20"/>
          <w:szCs w:val="20"/>
        </w:rPr>
      </w:pPr>
      <w:r w:rsidRPr="00543FB5">
        <w:rPr>
          <w:sz w:val="20"/>
          <w:szCs w:val="20"/>
        </w:rPr>
        <w:t xml:space="preserve">Please tell us whether your agency has a policy, strategy, action plan or other activity in place that relates to the following topics? </w:t>
      </w:r>
    </w:p>
    <w:p w14:paraId="15706A38" w14:textId="77777777" w:rsidR="00381868" w:rsidRPr="00543FB5" w:rsidRDefault="00381868" w:rsidP="00381868">
      <w:pPr>
        <w:pStyle w:val="ListNumber"/>
        <w:numPr>
          <w:ilvl w:val="0"/>
          <w:numId w:val="0"/>
        </w:numPr>
        <w:ind w:left="360"/>
        <w:rPr>
          <w:sz w:val="20"/>
          <w:szCs w:val="20"/>
        </w:rPr>
      </w:pPr>
    </w:p>
    <w:p w14:paraId="14A793E7" w14:textId="77777777" w:rsidR="00381868" w:rsidRPr="00543FB5" w:rsidRDefault="00381868" w:rsidP="00381868">
      <w:pPr>
        <w:pStyle w:val="ListNumber"/>
        <w:numPr>
          <w:ilvl w:val="0"/>
          <w:numId w:val="0"/>
        </w:numPr>
        <w:ind w:left="360"/>
        <w:rPr>
          <w:sz w:val="20"/>
          <w:szCs w:val="20"/>
        </w:rPr>
      </w:pPr>
      <w:r w:rsidRPr="00543FB5">
        <w:rPr>
          <w:sz w:val="20"/>
          <w:szCs w:val="20"/>
        </w:rPr>
        <w:t>Where your agency has a policy, strategy, action plan, or other item that covers off multiple topics, please answer yes for each topic covered. For example, if your agency has a Diversity and Inclusion Strategy that addresses gender equality, carer responsibilities, bullying, and discrimination, please answer ‘Yes’ for each of those four topics under the Strategy heading.</w:t>
      </w:r>
    </w:p>
    <w:p w14:paraId="7BE1C92D" w14:textId="77777777" w:rsidR="00381868" w:rsidRPr="00543FB5" w:rsidRDefault="00381868" w:rsidP="00381868">
      <w:pPr>
        <w:ind w:left="360"/>
        <w:rPr>
          <w:color w:val="auto"/>
          <w:szCs w:val="20"/>
        </w:rPr>
      </w:pPr>
      <w:r w:rsidRPr="00543FB5">
        <w:rPr>
          <w:color w:val="auto"/>
          <w:szCs w:val="20"/>
        </w:rPr>
        <w:t>For small agencies, please answer yes for any policies, strategies, action plans, or other activities that your agency is required to adhere to, even if it was developed by the lead agency in your portfolio.</w:t>
      </w:r>
    </w:p>
    <w:p w14:paraId="1FEFAF66" w14:textId="77777777" w:rsidR="00381868" w:rsidRPr="00543FB5" w:rsidRDefault="00381868" w:rsidP="00381868">
      <w:pPr>
        <w:ind w:left="360"/>
        <w:rPr>
          <w:szCs w:val="20"/>
        </w:rPr>
      </w:pPr>
      <w:r w:rsidRPr="00543FB5">
        <w:rPr>
          <w:color w:val="7F7F7F" w:themeColor="accent6"/>
          <w:szCs w:val="20"/>
        </w:rPr>
        <w:t>[Select an option for each topic]</w:t>
      </w:r>
    </w:p>
    <w:tbl>
      <w:tblPr>
        <w:tblStyle w:val="TableGrid"/>
        <w:tblW w:w="9493" w:type="dxa"/>
        <w:tblLook w:val="04A0" w:firstRow="1" w:lastRow="0" w:firstColumn="1" w:lastColumn="0" w:noHBand="0" w:noVBand="1"/>
        <w:tblCaption w:val="APS Gender Equality Strategy Survey questions"/>
        <w:tblDescription w:val="Topic - Policy, Strategy, Action plan, other, my agency does not have a gender equality policy, strategy or action plan. Tick boxes under each topic and list for each: Gender quality, Family and gender based violence, flexible work arrangments, remote working, carer responsibility, sexual harassment, bullying, discrimination"/>
      </w:tblPr>
      <w:tblGrid>
        <w:gridCol w:w="2122"/>
        <w:gridCol w:w="1417"/>
        <w:gridCol w:w="1418"/>
        <w:gridCol w:w="1719"/>
        <w:gridCol w:w="1322"/>
        <w:gridCol w:w="1495"/>
      </w:tblGrid>
      <w:tr w:rsidR="00381868" w14:paraId="682486F7" w14:textId="77777777" w:rsidTr="00AD566C">
        <w:trPr>
          <w:tblHeader/>
        </w:trPr>
        <w:tc>
          <w:tcPr>
            <w:tcW w:w="2122" w:type="dxa"/>
            <w:shd w:val="clear" w:color="auto" w:fill="auto"/>
          </w:tcPr>
          <w:p w14:paraId="49288CD5" w14:textId="77777777" w:rsidR="00381868" w:rsidRPr="00543FB5" w:rsidRDefault="00381868" w:rsidP="006B475D">
            <w:pPr>
              <w:rPr>
                <w:szCs w:val="20"/>
              </w:rPr>
            </w:pPr>
            <w:r w:rsidRPr="00543FB5">
              <w:rPr>
                <w:szCs w:val="20"/>
              </w:rPr>
              <w:t>Topic</w:t>
            </w:r>
          </w:p>
        </w:tc>
        <w:tc>
          <w:tcPr>
            <w:tcW w:w="1417" w:type="dxa"/>
            <w:shd w:val="clear" w:color="auto" w:fill="auto"/>
          </w:tcPr>
          <w:p w14:paraId="33AFAABC" w14:textId="77777777" w:rsidR="00381868" w:rsidRPr="00543FB5" w:rsidRDefault="00381868" w:rsidP="006B475D">
            <w:pPr>
              <w:jc w:val="center"/>
              <w:rPr>
                <w:szCs w:val="20"/>
              </w:rPr>
            </w:pPr>
            <w:r w:rsidRPr="00543FB5">
              <w:rPr>
                <w:b/>
                <w:szCs w:val="20"/>
              </w:rPr>
              <w:t>Policy</w:t>
            </w:r>
            <w:r w:rsidRPr="00543FB5">
              <w:rPr>
                <w:szCs w:val="20"/>
              </w:rPr>
              <w:t xml:space="preserve"> (such as a formal policy published on your agency’s intranet, including governing guidelines, rules and procedures)</w:t>
            </w:r>
          </w:p>
        </w:tc>
        <w:tc>
          <w:tcPr>
            <w:tcW w:w="1418" w:type="dxa"/>
            <w:shd w:val="clear" w:color="auto" w:fill="auto"/>
          </w:tcPr>
          <w:p w14:paraId="7535C297" w14:textId="77777777" w:rsidR="00381868" w:rsidRPr="00543FB5" w:rsidRDefault="00381868" w:rsidP="006B475D">
            <w:pPr>
              <w:jc w:val="center"/>
              <w:rPr>
                <w:szCs w:val="20"/>
              </w:rPr>
            </w:pPr>
            <w:r w:rsidRPr="00543FB5">
              <w:rPr>
                <w:b/>
                <w:szCs w:val="20"/>
              </w:rPr>
              <w:t>Strategy</w:t>
            </w:r>
            <w:r w:rsidRPr="00543FB5">
              <w:rPr>
                <w:szCs w:val="20"/>
              </w:rPr>
              <w:t xml:space="preserve"> (such as a formal agency strategy document to address the specific topics)</w:t>
            </w:r>
          </w:p>
        </w:tc>
        <w:tc>
          <w:tcPr>
            <w:tcW w:w="1719" w:type="dxa"/>
            <w:shd w:val="clear" w:color="auto" w:fill="auto"/>
          </w:tcPr>
          <w:p w14:paraId="2A7701F5" w14:textId="77777777" w:rsidR="00381868" w:rsidRPr="00543FB5" w:rsidRDefault="00381868" w:rsidP="006B475D">
            <w:pPr>
              <w:jc w:val="center"/>
              <w:rPr>
                <w:szCs w:val="20"/>
              </w:rPr>
            </w:pPr>
            <w:r w:rsidRPr="00543FB5">
              <w:rPr>
                <w:b/>
                <w:szCs w:val="20"/>
              </w:rPr>
              <w:t>Action Plan</w:t>
            </w:r>
            <w:r w:rsidRPr="00543FB5">
              <w:rPr>
                <w:szCs w:val="20"/>
              </w:rPr>
              <w:t xml:space="preserve"> (such as a separate list of actions that your agency has committed to, that is in addition to a published policy or strategy)</w:t>
            </w:r>
          </w:p>
        </w:tc>
        <w:tc>
          <w:tcPr>
            <w:tcW w:w="1322" w:type="dxa"/>
            <w:shd w:val="clear" w:color="auto" w:fill="auto"/>
          </w:tcPr>
          <w:p w14:paraId="3292EB72" w14:textId="77777777" w:rsidR="00381868" w:rsidRPr="00543FB5" w:rsidRDefault="00381868" w:rsidP="006B475D">
            <w:pPr>
              <w:jc w:val="center"/>
              <w:rPr>
                <w:szCs w:val="20"/>
              </w:rPr>
            </w:pPr>
            <w:r w:rsidRPr="00543FB5">
              <w:rPr>
                <w:b/>
                <w:szCs w:val="20"/>
              </w:rPr>
              <w:t>Other</w:t>
            </w:r>
            <w:r w:rsidRPr="00543FB5">
              <w:rPr>
                <w:szCs w:val="20"/>
              </w:rPr>
              <w:t xml:space="preserve"> (such as targets or specific training modules)</w:t>
            </w:r>
          </w:p>
        </w:tc>
        <w:tc>
          <w:tcPr>
            <w:tcW w:w="1495" w:type="dxa"/>
            <w:shd w:val="clear" w:color="auto" w:fill="auto"/>
          </w:tcPr>
          <w:p w14:paraId="495F4D47" w14:textId="77777777" w:rsidR="00381868" w:rsidRPr="00543FB5" w:rsidRDefault="00381868" w:rsidP="006B475D">
            <w:pPr>
              <w:jc w:val="center"/>
              <w:rPr>
                <w:szCs w:val="20"/>
              </w:rPr>
            </w:pPr>
            <w:r w:rsidRPr="00543FB5">
              <w:rPr>
                <w:szCs w:val="20"/>
              </w:rPr>
              <w:t xml:space="preserve">My agency </w:t>
            </w:r>
            <w:r w:rsidRPr="00543FB5">
              <w:rPr>
                <w:b/>
                <w:szCs w:val="20"/>
              </w:rPr>
              <w:t xml:space="preserve">does not </w:t>
            </w:r>
            <w:r w:rsidRPr="00543FB5">
              <w:rPr>
                <w:szCs w:val="20"/>
              </w:rPr>
              <w:t>have a gender equality policy, strategy, or action plan covering this topic in place </w:t>
            </w:r>
          </w:p>
        </w:tc>
      </w:tr>
      <w:tr w:rsidR="00381868" w14:paraId="53E32801" w14:textId="77777777" w:rsidTr="006B475D">
        <w:tc>
          <w:tcPr>
            <w:tcW w:w="2122" w:type="dxa"/>
          </w:tcPr>
          <w:p w14:paraId="5C5A9A54" w14:textId="77777777" w:rsidR="00381868" w:rsidRPr="00543FB5" w:rsidRDefault="00381868" w:rsidP="006B475D">
            <w:pPr>
              <w:rPr>
                <w:szCs w:val="20"/>
              </w:rPr>
            </w:pPr>
            <w:r w:rsidRPr="00543FB5">
              <w:rPr>
                <w:szCs w:val="20"/>
              </w:rPr>
              <w:t>Gender equality</w:t>
            </w:r>
          </w:p>
        </w:tc>
        <w:tc>
          <w:tcPr>
            <w:tcW w:w="1417" w:type="dxa"/>
          </w:tcPr>
          <w:p w14:paraId="1ADF783C" w14:textId="5BE86862" w:rsidR="00381868" w:rsidRPr="00543FB5" w:rsidRDefault="00260D55" w:rsidP="006B475D">
            <w:pPr>
              <w:jc w:val="center"/>
              <w:rPr>
                <w:szCs w:val="20"/>
              </w:rPr>
            </w:pPr>
            <w:sdt>
              <w:sdtPr>
                <w:rPr>
                  <w:szCs w:val="20"/>
                </w:rPr>
                <w:id w:val="-335920662"/>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0A1468F9" w14:textId="3790D5B3" w:rsidR="00381868" w:rsidRPr="00543FB5" w:rsidRDefault="00260D55" w:rsidP="006B475D">
            <w:pPr>
              <w:jc w:val="center"/>
              <w:rPr>
                <w:szCs w:val="20"/>
              </w:rPr>
            </w:pPr>
            <w:sdt>
              <w:sdtPr>
                <w:rPr>
                  <w:szCs w:val="20"/>
                </w:rPr>
                <w:id w:val="481438044"/>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4C0BBD65" w14:textId="183694EA" w:rsidR="00381868" w:rsidRPr="00543FB5" w:rsidRDefault="00260D55" w:rsidP="006B475D">
            <w:pPr>
              <w:jc w:val="center"/>
              <w:rPr>
                <w:szCs w:val="20"/>
              </w:rPr>
            </w:pPr>
            <w:sdt>
              <w:sdtPr>
                <w:rPr>
                  <w:szCs w:val="20"/>
                </w:rPr>
                <w:id w:val="-185672834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796DBA95" w14:textId="2989EB7F" w:rsidR="00381868" w:rsidRPr="00543FB5" w:rsidRDefault="00260D55" w:rsidP="006B475D">
            <w:pPr>
              <w:jc w:val="center"/>
              <w:rPr>
                <w:szCs w:val="20"/>
              </w:rPr>
            </w:pPr>
            <w:sdt>
              <w:sdtPr>
                <w:rPr>
                  <w:szCs w:val="20"/>
                </w:rPr>
                <w:id w:val="-860439631"/>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019BDFBE"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0A3A0349" w14:textId="77777777" w:rsidTr="006B475D">
        <w:tc>
          <w:tcPr>
            <w:tcW w:w="2122" w:type="dxa"/>
          </w:tcPr>
          <w:p w14:paraId="4C82A01B" w14:textId="77777777" w:rsidR="00381868" w:rsidRPr="00543FB5" w:rsidRDefault="00381868" w:rsidP="006B475D">
            <w:pPr>
              <w:rPr>
                <w:szCs w:val="20"/>
              </w:rPr>
            </w:pPr>
            <w:r w:rsidRPr="00543FB5">
              <w:rPr>
                <w:szCs w:val="20"/>
              </w:rPr>
              <w:t>Family and gender based violence</w:t>
            </w:r>
          </w:p>
        </w:tc>
        <w:tc>
          <w:tcPr>
            <w:tcW w:w="1417" w:type="dxa"/>
          </w:tcPr>
          <w:p w14:paraId="4A4506C5" w14:textId="41800C39" w:rsidR="00381868" w:rsidRPr="00543FB5" w:rsidRDefault="00260D55" w:rsidP="006B475D">
            <w:pPr>
              <w:jc w:val="center"/>
              <w:rPr>
                <w:szCs w:val="20"/>
              </w:rPr>
            </w:pPr>
            <w:sdt>
              <w:sdtPr>
                <w:rPr>
                  <w:szCs w:val="20"/>
                </w:rPr>
                <w:id w:val="-51470634"/>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5521A109" w14:textId="67D5EB39" w:rsidR="00381868" w:rsidRPr="00543FB5" w:rsidRDefault="00260D55" w:rsidP="006B475D">
            <w:pPr>
              <w:jc w:val="center"/>
              <w:rPr>
                <w:szCs w:val="20"/>
              </w:rPr>
            </w:pPr>
            <w:sdt>
              <w:sdtPr>
                <w:rPr>
                  <w:szCs w:val="20"/>
                </w:rPr>
                <w:id w:val="84390768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062BBE93" w14:textId="203C234F" w:rsidR="00381868" w:rsidRPr="00543FB5" w:rsidRDefault="00260D55" w:rsidP="006B475D">
            <w:pPr>
              <w:jc w:val="center"/>
              <w:rPr>
                <w:szCs w:val="20"/>
              </w:rPr>
            </w:pPr>
            <w:sdt>
              <w:sdtPr>
                <w:rPr>
                  <w:szCs w:val="20"/>
                </w:rPr>
                <w:id w:val="19126555"/>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573ABAE2" w14:textId="01E5D7DB" w:rsidR="00381868" w:rsidRPr="00543FB5" w:rsidRDefault="00260D55" w:rsidP="006B475D">
            <w:pPr>
              <w:jc w:val="center"/>
              <w:rPr>
                <w:szCs w:val="20"/>
              </w:rPr>
            </w:pPr>
            <w:sdt>
              <w:sdtPr>
                <w:rPr>
                  <w:szCs w:val="20"/>
                </w:rPr>
                <w:id w:val="-142549738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032053C3"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136A0666" w14:textId="77777777" w:rsidTr="006B475D">
        <w:tc>
          <w:tcPr>
            <w:tcW w:w="2122" w:type="dxa"/>
          </w:tcPr>
          <w:p w14:paraId="6E9CB7C6" w14:textId="77777777" w:rsidR="00381868" w:rsidRPr="00543FB5" w:rsidRDefault="00381868" w:rsidP="006B475D">
            <w:pPr>
              <w:rPr>
                <w:szCs w:val="20"/>
              </w:rPr>
            </w:pPr>
            <w:r w:rsidRPr="00543FB5">
              <w:rPr>
                <w:szCs w:val="20"/>
              </w:rPr>
              <w:t>Flexible working arrangements</w:t>
            </w:r>
          </w:p>
        </w:tc>
        <w:tc>
          <w:tcPr>
            <w:tcW w:w="1417" w:type="dxa"/>
          </w:tcPr>
          <w:p w14:paraId="0D4316DE" w14:textId="72831B87" w:rsidR="00381868" w:rsidRPr="00543FB5" w:rsidRDefault="00260D55" w:rsidP="006B475D">
            <w:pPr>
              <w:jc w:val="center"/>
              <w:rPr>
                <w:szCs w:val="20"/>
              </w:rPr>
            </w:pPr>
            <w:sdt>
              <w:sdtPr>
                <w:rPr>
                  <w:szCs w:val="20"/>
                </w:rPr>
                <w:id w:val="-71172925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61D0F539" w14:textId="7ABEC7A8" w:rsidR="00381868" w:rsidRPr="00543FB5" w:rsidRDefault="00260D55" w:rsidP="006B475D">
            <w:pPr>
              <w:jc w:val="center"/>
              <w:rPr>
                <w:szCs w:val="20"/>
              </w:rPr>
            </w:pPr>
            <w:sdt>
              <w:sdtPr>
                <w:rPr>
                  <w:szCs w:val="20"/>
                </w:rPr>
                <w:id w:val="-87345144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285C7CDA" w14:textId="326A495E" w:rsidR="00381868" w:rsidRPr="00543FB5" w:rsidRDefault="00260D55" w:rsidP="006B475D">
            <w:pPr>
              <w:jc w:val="center"/>
              <w:rPr>
                <w:szCs w:val="20"/>
              </w:rPr>
            </w:pPr>
            <w:sdt>
              <w:sdtPr>
                <w:rPr>
                  <w:szCs w:val="20"/>
                </w:rPr>
                <w:id w:val="-1072973565"/>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7F2E754F" w14:textId="0E627DE9" w:rsidR="00381868" w:rsidRPr="00543FB5" w:rsidRDefault="00260D55" w:rsidP="006B475D">
            <w:pPr>
              <w:jc w:val="center"/>
              <w:rPr>
                <w:szCs w:val="20"/>
              </w:rPr>
            </w:pPr>
            <w:sdt>
              <w:sdtPr>
                <w:rPr>
                  <w:szCs w:val="20"/>
                </w:rPr>
                <w:id w:val="1494986957"/>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345747CB"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1D6DF62C" w14:textId="77777777" w:rsidTr="006B475D">
        <w:tc>
          <w:tcPr>
            <w:tcW w:w="2122" w:type="dxa"/>
          </w:tcPr>
          <w:p w14:paraId="65842DC0" w14:textId="77777777" w:rsidR="00381868" w:rsidRPr="00543FB5" w:rsidRDefault="00381868" w:rsidP="006B475D">
            <w:pPr>
              <w:rPr>
                <w:szCs w:val="20"/>
              </w:rPr>
            </w:pPr>
            <w:r w:rsidRPr="00543FB5">
              <w:rPr>
                <w:szCs w:val="20"/>
              </w:rPr>
              <w:t>Remote working</w:t>
            </w:r>
          </w:p>
        </w:tc>
        <w:tc>
          <w:tcPr>
            <w:tcW w:w="1417" w:type="dxa"/>
          </w:tcPr>
          <w:p w14:paraId="1ADC0F85" w14:textId="79546A60" w:rsidR="00381868" w:rsidRPr="00543FB5" w:rsidRDefault="00260D55" w:rsidP="006B475D">
            <w:pPr>
              <w:jc w:val="center"/>
              <w:rPr>
                <w:szCs w:val="20"/>
              </w:rPr>
            </w:pPr>
            <w:sdt>
              <w:sdtPr>
                <w:rPr>
                  <w:szCs w:val="20"/>
                </w:rPr>
                <w:id w:val="183017315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074C22F5" w14:textId="16B37AA9" w:rsidR="00381868" w:rsidRPr="00543FB5" w:rsidRDefault="00260D55" w:rsidP="006B475D">
            <w:pPr>
              <w:jc w:val="center"/>
              <w:rPr>
                <w:szCs w:val="20"/>
              </w:rPr>
            </w:pPr>
            <w:sdt>
              <w:sdtPr>
                <w:rPr>
                  <w:szCs w:val="20"/>
                </w:rPr>
                <w:id w:val="34144386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0EE5C8FB" w14:textId="51CBE1C6" w:rsidR="00381868" w:rsidRPr="00543FB5" w:rsidRDefault="00260D55" w:rsidP="006B475D">
            <w:pPr>
              <w:jc w:val="center"/>
              <w:rPr>
                <w:szCs w:val="20"/>
              </w:rPr>
            </w:pPr>
            <w:sdt>
              <w:sdtPr>
                <w:rPr>
                  <w:szCs w:val="20"/>
                </w:rPr>
                <w:id w:val="1635531402"/>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205BEC99" w14:textId="580603BD" w:rsidR="00381868" w:rsidRPr="00543FB5" w:rsidRDefault="00260D55" w:rsidP="006B475D">
            <w:pPr>
              <w:jc w:val="center"/>
              <w:rPr>
                <w:szCs w:val="20"/>
              </w:rPr>
            </w:pPr>
            <w:sdt>
              <w:sdtPr>
                <w:rPr>
                  <w:szCs w:val="20"/>
                </w:rPr>
                <w:id w:val="-132442640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019071E4"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0AA067DA" w14:textId="77777777" w:rsidTr="006B475D">
        <w:tc>
          <w:tcPr>
            <w:tcW w:w="2122" w:type="dxa"/>
          </w:tcPr>
          <w:p w14:paraId="1E89AE42" w14:textId="77777777" w:rsidR="00381868" w:rsidRPr="00543FB5" w:rsidRDefault="00381868" w:rsidP="006B475D">
            <w:pPr>
              <w:rPr>
                <w:szCs w:val="20"/>
              </w:rPr>
            </w:pPr>
            <w:r w:rsidRPr="00543FB5">
              <w:rPr>
                <w:szCs w:val="20"/>
              </w:rPr>
              <w:t>Carer responsibilities</w:t>
            </w:r>
          </w:p>
        </w:tc>
        <w:tc>
          <w:tcPr>
            <w:tcW w:w="1417" w:type="dxa"/>
          </w:tcPr>
          <w:p w14:paraId="22EEE8C4" w14:textId="2437ABB0" w:rsidR="00381868" w:rsidRPr="00543FB5" w:rsidRDefault="00260D55" w:rsidP="006B475D">
            <w:pPr>
              <w:jc w:val="center"/>
              <w:rPr>
                <w:szCs w:val="20"/>
              </w:rPr>
            </w:pPr>
            <w:sdt>
              <w:sdtPr>
                <w:rPr>
                  <w:szCs w:val="20"/>
                </w:rPr>
                <w:id w:val="86279519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42646DAC" w14:textId="28913AE6" w:rsidR="00381868" w:rsidRPr="00543FB5" w:rsidRDefault="00260D55" w:rsidP="006B475D">
            <w:pPr>
              <w:jc w:val="center"/>
              <w:rPr>
                <w:szCs w:val="20"/>
              </w:rPr>
            </w:pPr>
            <w:sdt>
              <w:sdtPr>
                <w:rPr>
                  <w:szCs w:val="20"/>
                </w:rPr>
                <w:id w:val="143301457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21D0461A" w14:textId="288C241A" w:rsidR="00381868" w:rsidRPr="00543FB5" w:rsidRDefault="00260D55" w:rsidP="006B475D">
            <w:pPr>
              <w:jc w:val="center"/>
              <w:rPr>
                <w:szCs w:val="20"/>
              </w:rPr>
            </w:pPr>
            <w:sdt>
              <w:sdtPr>
                <w:rPr>
                  <w:szCs w:val="20"/>
                </w:rPr>
                <w:id w:val="119511189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4E1E10BC" w14:textId="16AB9F0D" w:rsidR="00381868" w:rsidRPr="00543FB5" w:rsidRDefault="00260D55" w:rsidP="006B475D">
            <w:pPr>
              <w:jc w:val="center"/>
              <w:rPr>
                <w:szCs w:val="20"/>
              </w:rPr>
            </w:pPr>
            <w:sdt>
              <w:sdtPr>
                <w:rPr>
                  <w:szCs w:val="20"/>
                </w:rPr>
                <w:id w:val="24106796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7274EC76"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09817831" w14:textId="77777777" w:rsidTr="006B475D">
        <w:tc>
          <w:tcPr>
            <w:tcW w:w="2122" w:type="dxa"/>
          </w:tcPr>
          <w:p w14:paraId="46BCC8C6" w14:textId="77777777" w:rsidR="00381868" w:rsidRPr="00543FB5" w:rsidRDefault="00381868" w:rsidP="006B475D">
            <w:pPr>
              <w:rPr>
                <w:szCs w:val="20"/>
              </w:rPr>
            </w:pPr>
            <w:r w:rsidRPr="00543FB5">
              <w:rPr>
                <w:szCs w:val="20"/>
              </w:rPr>
              <w:t>Sexual harassment</w:t>
            </w:r>
          </w:p>
        </w:tc>
        <w:tc>
          <w:tcPr>
            <w:tcW w:w="1417" w:type="dxa"/>
          </w:tcPr>
          <w:p w14:paraId="536F1EB5" w14:textId="42700678" w:rsidR="00381868" w:rsidRPr="00543FB5" w:rsidRDefault="00260D55" w:rsidP="006B475D">
            <w:pPr>
              <w:jc w:val="center"/>
              <w:rPr>
                <w:szCs w:val="20"/>
              </w:rPr>
            </w:pPr>
            <w:sdt>
              <w:sdtPr>
                <w:rPr>
                  <w:szCs w:val="20"/>
                </w:rPr>
                <w:id w:val="706302612"/>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68F9EA3B" w14:textId="32B1E7CF" w:rsidR="00381868" w:rsidRPr="00543FB5" w:rsidRDefault="00260D55" w:rsidP="006B475D">
            <w:pPr>
              <w:jc w:val="center"/>
              <w:rPr>
                <w:szCs w:val="20"/>
              </w:rPr>
            </w:pPr>
            <w:sdt>
              <w:sdtPr>
                <w:rPr>
                  <w:szCs w:val="20"/>
                </w:rPr>
                <w:id w:val="-179207430"/>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569BC986" w14:textId="613EEE34" w:rsidR="00381868" w:rsidRPr="00543FB5" w:rsidRDefault="00260D55" w:rsidP="006B475D">
            <w:pPr>
              <w:jc w:val="center"/>
              <w:rPr>
                <w:szCs w:val="20"/>
              </w:rPr>
            </w:pPr>
            <w:sdt>
              <w:sdtPr>
                <w:rPr>
                  <w:szCs w:val="20"/>
                </w:rPr>
                <w:id w:val="191774135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318F0FB1" w14:textId="1F82A5D5" w:rsidR="00381868" w:rsidRPr="00543FB5" w:rsidRDefault="00260D55" w:rsidP="006B475D">
            <w:pPr>
              <w:jc w:val="center"/>
              <w:rPr>
                <w:szCs w:val="20"/>
              </w:rPr>
            </w:pPr>
            <w:sdt>
              <w:sdtPr>
                <w:rPr>
                  <w:szCs w:val="20"/>
                </w:rPr>
                <w:id w:val="-184516009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5859D65C"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0BE5B084" w14:textId="77777777" w:rsidTr="006B475D">
        <w:tc>
          <w:tcPr>
            <w:tcW w:w="2122" w:type="dxa"/>
          </w:tcPr>
          <w:p w14:paraId="46ECB170" w14:textId="77777777" w:rsidR="00381868" w:rsidRPr="00543FB5" w:rsidRDefault="00381868" w:rsidP="006B475D">
            <w:pPr>
              <w:rPr>
                <w:szCs w:val="20"/>
              </w:rPr>
            </w:pPr>
            <w:r w:rsidRPr="00543FB5">
              <w:rPr>
                <w:szCs w:val="20"/>
              </w:rPr>
              <w:t>Bullying</w:t>
            </w:r>
          </w:p>
        </w:tc>
        <w:tc>
          <w:tcPr>
            <w:tcW w:w="1417" w:type="dxa"/>
          </w:tcPr>
          <w:p w14:paraId="015FF407" w14:textId="0299F15D" w:rsidR="00381868" w:rsidRPr="00543FB5" w:rsidRDefault="00260D55" w:rsidP="006B475D">
            <w:pPr>
              <w:jc w:val="center"/>
              <w:rPr>
                <w:szCs w:val="20"/>
              </w:rPr>
            </w:pPr>
            <w:sdt>
              <w:sdtPr>
                <w:rPr>
                  <w:szCs w:val="20"/>
                </w:rPr>
                <w:id w:val="-32805934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592157F4" w14:textId="06F66DC6" w:rsidR="00381868" w:rsidRPr="00543FB5" w:rsidRDefault="00260D55" w:rsidP="006B475D">
            <w:pPr>
              <w:jc w:val="center"/>
              <w:rPr>
                <w:szCs w:val="20"/>
              </w:rPr>
            </w:pPr>
            <w:sdt>
              <w:sdtPr>
                <w:rPr>
                  <w:szCs w:val="20"/>
                </w:rPr>
                <w:id w:val="815998535"/>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6F381A4F" w14:textId="0B1CD0A8" w:rsidR="00381868" w:rsidRPr="00543FB5" w:rsidRDefault="00260D55" w:rsidP="006B475D">
            <w:pPr>
              <w:jc w:val="center"/>
              <w:rPr>
                <w:szCs w:val="20"/>
              </w:rPr>
            </w:pPr>
            <w:sdt>
              <w:sdtPr>
                <w:rPr>
                  <w:szCs w:val="20"/>
                </w:rPr>
                <w:id w:val="1893915422"/>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565638DE" w14:textId="568BC935" w:rsidR="00381868" w:rsidRPr="00543FB5" w:rsidRDefault="00260D55" w:rsidP="006B475D">
            <w:pPr>
              <w:jc w:val="center"/>
              <w:rPr>
                <w:szCs w:val="20"/>
              </w:rPr>
            </w:pPr>
            <w:sdt>
              <w:sdtPr>
                <w:rPr>
                  <w:szCs w:val="20"/>
                </w:rPr>
                <w:id w:val="121524555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44D07357" w14:textId="77777777" w:rsidR="00381868" w:rsidRPr="00543FB5" w:rsidRDefault="00381868" w:rsidP="006B475D">
            <w:pPr>
              <w:jc w:val="center"/>
              <w:rPr>
                <w:szCs w:val="20"/>
              </w:rPr>
            </w:pPr>
            <w:r w:rsidRPr="00543FB5">
              <w:rPr>
                <w:rFonts w:ascii="Segoe UI Symbol" w:hAnsi="Segoe UI Symbol" w:cs="Segoe UI Symbol"/>
                <w:szCs w:val="20"/>
              </w:rPr>
              <w:t>☐</w:t>
            </w:r>
          </w:p>
        </w:tc>
      </w:tr>
      <w:tr w:rsidR="00381868" w14:paraId="6E560D87" w14:textId="77777777" w:rsidTr="006B475D">
        <w:tc>
          <w:tcPr>
            <w:tcW w:w="2122" w:type="dxa"/>
          </w:tcPr>
          <w:p w14:paraId="05B17E9D" w14:textId="77777777" w:rsidR="00381868" w:rsidRPr="00543FB5" w:rsidRDefault="00381868" w:rsidP="006B475D">
            <w:pPr>
              <w:rPr>
                <w:szCs w:val="20"/>
              </w:rPr>
            </w:pPr>
            <w:r w:rsidRPr="00543FB5">
              <w:rPr>
                <w:szCs w:val="20"/>
              </w:rPr>
              <w:t>Discrimination</w:t>
            </w:r>
          </w:p>
        </w:tc>
        <w:tc>
          <w:tcPr>
            <w:tcW w:w="1417" w:type="dxa"/>
          </w:tcPr>
          <w:p w14:paraId="05530B87" w14:textId="73FF747C" w:rsidR="00381868" w:rsidRPr="00543FB5" w:rsidRDefault="00260D55" w:rsidP="006B475D">
            <w:pPr>
              <w:jc w:val="center"/>
              <w:rPr>
                <w:szCs w:val="20"/>
              </w:rPr>
            </w:pPr>
            <w:sdt>
              <w:sdtPr>
                <w:rPr>
                  <w:szCs w:val="20"/>
                </w:rPr>
                <w:id w:val="-1108280480"/>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18" w:type="dxa"/>
          </w:tcPr>
          <w:p w14:paraId="5DEE0040" w14:textId="18521F5C" w:rsidR="00381868" w:rsidRPr="00543FB5" w:rsidRDefault="00260D55" w:rsidP="006B475D">
            <w:pPr>
              <w:jc w:val="center"/>
              <w:rPr>
                <w:szCs w:val="20"/>
              </w:rPr>
            </w:pPr>
            <w:sdt>
              <w:sdtPr>
                <w:rPr>
                  <w:szCs w:val="20"/>
                </w:rPr>
                <w:id w:val="-1545291502"/>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719" w:type="dxa"/>
          </w:tcPr>
          <w:p w14:paraId="0E8C78A9" w14:textId="0D657C94" w:rsidR="00381868" w:rsidRPr="00543FB5" w:rsidRDefault="00260D55" w:rsidP="006B475D">
            <w:pPr>
              <w:jc w:val="center"/>
              <w:rPr>
                <w:szCs w:val="20"/>
              </w:rPr>
            </w:pPr>
            <w:sdt>
              <w:sdtPr>
                <w:rPr>
                  <w:szCs w:val="20"/>
                </w:rPr>
                <w:id w:val="1147397676"/>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322" w:type="dxa"/>
          </w:tcPr>
          <w:p w14:paraId="3DFDA3F7" w14:textId="734A6014" w:rsidR="00381868" w:rsidRPr="00543FB5" w:rsidRDefault="00260D55" w:rsidP="006B475D">
            <w:pPr>
              <w:jc w:val="center"/>
              <w:rPr>
                <w:szCs w:val="20"/>
              </w:rPr>
            </w:pPr>
            <w:sdt>
              <w:sdtPr>
                <w:rPr>
                  <w:szCs w:val="20"/>
                </w:rPr>
                <w:id w:val="1483816558"/>
                <w14:checkbox>
                  <w14:checked w14:val="0"/>
                  <w14:checkedState w14:val="2612" w14:font="MS Gothic"/>
                  <w14:uncheckedState w14:val="2610" w14:font="MS Gothic"/>
                </w14:checkbox>
              </w:sdtPr>
              <w:sdtContent>
                <w:r w:rsidR="00381868" w:rsidRPr="00543FB5">
                  <w:rPr>
                    <w:rFonts w:ascii="MS Gothic" w:eastAsia="MS Gothic" w:hAnsi="MS Gothic" w:hint="eastAsia"/>
                    <w:szCs w:val="20"/>
                  </w:rPr>
                  <w:t>☐</w:t>
                </w:r>
              </w:sdtContent>
            </w:sdt>
          </w:p>
        </w:tc>
        <w:tc>
          <w:tcPr>
            <w:tcW w:w="1495" w:type="dxa"/>
          </w:tcPr>
          <w:p w14:paraId="468819E4" w14:textId="77777777" w:rsidR="00381868" w:rsidRPr="00543FB5" w:rsidRDefault="00381868" w:rsidP="006B475D">
            <w:pPr>
              <w:jc w:val="center"/>
              <w:rPr>
                <w:szCs w:val="20"/>
              </w:rPr>
            </w:pPr>
            <w:r w:rsidRPr="00543FB5">
              <w:rPr>
                <w:rFonts w:ascii="Segoe UI Symbol" w:hAnsi="Segoe UI Symbol" w:cs="Segoe UI Symbol"/>
                <w:szCs w:val="20"/>
              </w:rPr>
              <w:t>☐</w:t>
            </w:r>
          </w:p>
        </w:tc>
      </w:tr>
    </w:tbl>
    <w:p w14:paraId="7651DBBE" w14:textId="77777777" w:rsidR="00381868" w:rsidRPr="00543FB5" w:rsidRDefault="00381868" w:rsidP="00381868">
      <w:pPr>
        <w:rPr>
          <w:szCs w:val="20"/>
        </w:rPr>
      </w:pPr>
    </w:p>
    <w:p w14:paraId="3D67F0D9" w14:textId="77777777" w:rsidR="00381868" w:rsidRPr="00543FB5" w:rsidRDefault="00381868" w:rsidP="00381868">
      <w:pPr>
        <w:ind w:left="360"/>
        <w:rPr>
          <w:color w:val="7F7F7F" w:themeColor="accent6"/>
          <w:szCs w:val="20"/>
        </w:rPr>
      </w:pPr>
      <w:r w:rsidRPr="00543FB5">
        <w:rPr>
          <w:color w:val="7F7F7F" w:themeColor="accent6"/>
          <w:szCs w:val="20"/>
        </w:rPr>
        <w:lastRenderedPageBreak/>
        <w:t>[If your agency does not have a gender equality strategy or action plan in place please move to question 7]</w:t>
      </w:r>
    </w:p>
    <w:p w14:paraId="578F932A" w14:textId="77777777" w:rsidR="00381868" w:rsidRPr="00543FB5" w:rsidRDefault="00381868" w:rsidP="00381868">
      <w:pPr>
        <w:pStyle w:val="ListNumber"/>
        <w:numPr>
          <w:ilvl w:val="0"/>
          <w:numId w:val="0"/>
        </w:numPr>
        <w:ind w:left="360"/>
        <w:rPr>
          <w:color w:val="7F7F7F" w:themeColor="accent6"/>
          <w:sz w:val="20"/>
          <w:szCs w:val="20"/>
        </w:rPr>
      </w:pPr>
      <w:r w:rsidRPr="00543FB5">
        <w:rPr>
          <w:color w:val="7F7F7F" w:themeColor="accent6"/>
          <w:sz w:val="20"/>
          <w:szCs w:val="20"/>
        </w:rPr>
        <w:t>[If you answered ‘other’, please move to question 2]</w:t>
      </w:r>
    </w:p>
    <w:p w14:paraId="3A0DA666" w14:textId="77777777" w:rsidR="00381868" w:rsidRPr="00543FB5" w:rsidRDefault="00381868" w:rsidP="00381868">
      <w:pPr>
        <w:pStyle w:val="ListNumber"/>
        <w:numPr>
          <w:ilvl w:val="0"/>
          <w:numId w:val="0"/>
        </w:numPr>
        <w:ind w:left="360"/>
        <w:rPr>
          <w:sz w:val="20"/>
          <w:szCs w:val="20"/>
        </w:rPr>
      </w:pPr>
    </w:p>
    <w:p w14:paraId="38B55F5C" w14:textId="77777777" w:rsidR="00381868" w:rsidRPr="00543FB5" w:rsidRDefault="00381868" w:rsidP="00381868">
      <w:pPr>
        <w:pStyle w:val="ListNumber"/>
        <w:rPr>
          <w:sz w:val="20"/>
          <w:szCs w:val="20"/>
        </w:rPr>
      </w:pPr>
      <w:r w:rsidRPr="00543FB5">
        <w:rPr>
          <w:sz w:val="20"/>
          <w:szCs w:val="20"/>
        </w:rPr>
        <w:t xml:space="preserve">If you answered ‘other’ to any of the answers in question 1, please specify your answer below: </w:t>
      </w:r>
    </w:p>
    <w:p w14:paraId="21183121" w14:textId="5BE97FB5" w:rsidR="00381868" w:rsidRPr="00543FB5" w:rsidRDefault="00381868" w:rsidP="00381868">
      <w:pPr>
        <w:pStyle w:val="ListNumber"/>
        <w:numPr>
          <w:ilvl w:val="0"/>
          <w:numId w:val="0"/>
        </w:numPr>
        <w:ind w:left="360"/>
        <w:rPr>
          <w:sz w:val="20"/>
          <w:szCs w:val="20"/>
        </w:rPr>
      </w:pPr>
      <w:r w:rsidRPr="00543FB5">
        <w:rPr>
          <w:sz w:val="20"/>
          <w:szCs w:val="20"/>
        </w:rPr>
        <w:t>______________________________________________________________________________________________________________________________________________</w:t>
      </w:r>
    </w:p>
    <w:p w14:paraId="38217743" w14:textId="77777777" w:rsidR="00381868" w:rsidRPr="00543FB5" w:rsidRDefault="00381868" w:rsidP="00381868">
      <w:pPr>
        <w:pStyle w:val="ListNumber"/>
        <w:numPr>
          <w:ilvl w:val="0"/>
          <w:numId w:val="0"/>
        </w:numPr>
        <w:ind w:left="360"/>
        <w:rPr>
          <w:sz w:val="20"/>
          <w:szCs w:val="20"/>
        </w:rPr>
      </w:pPr>
    </w:p>
    <w:p w14:paraId="76E9089F" w14:textId="77777777" w:rsidR="00381868" w:rsidRPr="00543FB5" w:rsidRDefault="00381868" w:rsidP="00381868">
      <w:pPr>
        <w:pStyle w:val="ListNumber"/>
        <w:numPr>
          <w:ilvl w:val="0"/>
          <w:numId w:val="0"/>
        </w:numPr>
        <w:ind w:left="360"/>
        <w:rPr>
          <w:color w:val="7F7F7F" w:themeColor="accent6"/>
          <w:sz w:val="20"/>
          <w:szCs w:val="20"/>
        </w:rPr>
      </w:pPr>
      <w:r w:rsidRPr="00543FB5">
        <w:rPr>
          <w:color w:val="7F7F7F" w:themeColor="accent6"/>
          <w:sz w:val="20"/>
          <w:szCs w:val="20"/>
        </w:rPr>
        <w:t xml:space="preserve">[Questions 3 – 6 will be displayed if participants selected that they have a policy, strategy, action plan, or ‘other’ in place in question 1] </w:t>
      </w:r>
    </w:p>
    <w:p w14:paraId="64FCC04F" w14:textId="77777777" w:rsidR="00381868" w:rsidRPr="00543FB5" w:rsidRDefault="00381868" w:rsidP="00381868">
      <w:pPr>
        <w:pStyle w:val="ListNumber"/>
        <w:numPr>
          <w:ilvl w:val="0"/>
          <w:numId w:val="0"/>
        </w:numPr>
        <w:ind w:left="360"/>
        <w:rPr>
          <w:sz w:val="20"/>
          <w:szCs w:val="20"/>
        </w:rPr>
      </w:pPr>
    </w:p>
    <w:p w14:paraId="4F6A7CFA" w14:textId="459E8AC1" w:rsidR="00381868" w:rsidRPr="00543FB5" w:rsidRDefault="00381868" w:rsidP="00381868">
      <w:pPr>
        <w:pStyle w:val="ListNumber"/>
        <w:rPr>
          <w:sz w:val="20"/>
          <w:szCs w:val="20"/>
        </w:rPr>
      </w:pPr>
      <w:r w:rsidRPr="00543FB5">
        <w:rPr>
          <w:sz w:val="20"/>
          <w:szCs w:val="20"/>
        </w:rPr>
        <w:t>Does your agency dedicate resources to support the implementation of your agency’s gender equality strategy or action plan (</w:t>
      </w:r>
      <w:r w:rsidRPr="00543FB5">
        <w:rPr>
          <w:i/>
          <w:sz w:val="20"/>
          <w:szCs w:val="20"/>
        </w:rPr>
        <w:t>Action area #1 minimum standards: Leadership and accountability</w:t>
      </w:r>
      <w:r w:rsidRPr="00543FB5">
        <w:rPr>
          <w:sz w:val="20"/>
          <w:szCs w:val="20"/>
        </w:rPr>
        <w:t>)?</w:t>
      </w:r>
    </w:p>
    <w:p w14:paraId="43495A56" w14:textId="77777777" w:rsidR="00381868" w:rsidRDefault="00381868" w:rsidP="00F9645E">
      <w:pPr>
        <w:pStyle w:val="ListParagraph"/>
        <w:numPr>
          <w:ilvl w:val="0"/>
          <w:numId w:val="14"/>
        </w:numPr>
      </w:pPr>
      <w:r>
        <w:t>Yes</w:t>
      </w:r>
    </w:p>
    <w:p w14:paraId="701B7513" w14:textId="77777777" w:rsidR="00381868" w:rsidRDefault="00381868" w:rsidP="00F9645E">
      <w:pPr>
        <w:pStyle w:val="ListParagraph"/>
        <w:numPr>
          <w:ilvl w:val="0"/>
          <w:numId w:val="14"/>
        </w:numPr>
      </w:pPr>
      <w:r>
        <w:t>No</w:t>
      </w:r>
    </w:p>
    <w:p w14:paraId="68673FF4" w14:textId="77777777" w:rsidR="00381868" w:rsidRPr="00543FB5" w:rsidRDefault="00381868" w:rsidP="00381868">
      <w:pPr>
        <w:pStyle w:val="ListNumber"/>
        <w:rPr>
          <w:sz w:val="20"/>
          <w:szCs w:val="20"/>
        </w:rPr>
      </w:pPr>
      <w:r w:rsidRPr="00543FB5">
        <w:rPr>
          <w:sz w:val="20"/>
          <w:szCs w:val="20"/>
        </w:rPr>
        <w:t>Does your agency have governance to support the implementation of your agency’s gender equality strategy or action plan (</w:t>
      </w:r>
      <w:r w:rsidRPr="00543FB5">
        <w:rPr>
          <w:i/>
          <w:sz w:val="20"/>
          <w:szCs w:val="20"/>
        </w:rPr>
        <w:t>Action area #1 minimum standards: Leadership and accountability</w:t>
      </w:r>
      <w:r w:rsidRPr="00543FB5">
        <w:rPr>
          <w:sz w:val="20"/>
          <w:szCs w:val="20"/>
        </w:rPr>
        <w:t>)?</w:t>
      </w:r>
    </w:p>
    <w:p w14:paraId="5C0D5CC3" w14:textId="77777777" w:rsidR="00381868" w:rsidRDefault="00381868" w:rsidP="00F9645E">
      <w:pPr>
        <w:pStyle w:val="ListParagraph"/>
        <w:numPr>
          <w:ilvl w:val="0"/>
          <w:numId w:val="14"/>
        </w:numPr>
      </w:pPr>
      <w:r>
        <w:t>Yes</w:t>
      </w:r>
    </w:p>
    <w:p w14:paraId="07AC9EFA" w14:textId="77777777" w:rsidR="00381868" w:rsidRDefault="00381868" w:rsidP="00F9645E">
      <w:pPr>
        <w:pStyle w:val="ListParagraph"/>
        <w:numPr>
          <w:ilvl w:val="0"/>
          <w:numId w:val="14"/>
        </w:numPr>
      </w:pPr>
      <w:r>
        <w:t>No</w:t>
      </w:r>
    </w:p>
    <w:p w14:paraId="045B9326" w14:textId="77777777" w:rsidR="00381868" w:rsidRPr="00543FB5" w:rsidRDefault="00381868" w:rsidP="00381868">
      <w:pPr>
        <w:pStyle w:val="ListNumber"/>
        <w:rPr>
          <w:sz w:val="20"/>
          <w:szCs w:val="20"/>
        </w:rPr>
      </w:pPr>
      <w:r w:rsidRPr="00543FB5">
        <w:rPr>
          <w:sz w:val="20"/>
          <w:szCs w:val="20"/>
        </w:rPr>
        <w:t>Is your agency’s progress in implementing the gender equality strategy or action plan communicated or accessible to all employees (</w:t>
      </w:r>
      <w:r w:rsidRPr="00543FB5">
        <w:rPr>
          <w:i/>
          <w:sz w:val="20"/>
          <w:szCs w:val="20"/>
        </w:rPr>
        <w:t>Action area #1 minimum standards: Leadership and accountability</w:t>
      </w:r>
      <w:r w:rsidRPr="00543FB5">
        <w:rPr>
          <w:sz w:val="20"/>
          <w:szCs w:val="20"/>
        </w:rPr>
        <w:t>)?</w:t>
      </w:r>
    </w:p>
    <w:p w14:paraId="4828C05E" w14:textId="77777777" w:rsidR="00381868" w:rsidRDefault="00381868" w:rsidP="00F9645E">
      <w:pPr>
        <w:pStyle w:val="ListParagraph"/>
        <w:numPr>
          <w:ilvl w:val="0"/>
          <w:numId w:val="15"/>
        </w:numPr>
      </w:pPr>
      <w:r>
        <w:t>Yes</w:t>
      </w:r>
    </w:p>
    <w:p w14:paraId="5E68AC64" w14:textId="77777777" w:rsidR="00381868" w:rsidRDefault="00381868" w:rsidP="00F9645E">
      <w:pPr>
        <w:pStyle w:val="ListParagraph"/>
        <w:numPr>
          <w:ilvl w:val="0"/>
          <w:numId w:val="15"/>
        </w:numPr>
      </w:pPr>
      <w:r>
        <w:t>No</w:t>
      </w:r>
    </w:p>
    <w:p w14:paraId="70AA54C9" w14:textId="77777777" w:rsidR="00381868" w:rsidRPr="00543FB5" w:rsidRDefault="00381868" w:rsidP="00381868">
      <w:pPr>
        <w:pStyle w:val="ListNumber"/>
        <w:rPr>
          <w:sz w:val="20"/>
          <w:szCs w:val="20"/>
        </w:rPr>
      </w:pPr>
      <w:r w:rsidRPr="00543FB5">
        <w:rPr>
          <w:sz w:val="20"/>
          <w:szCs w:val="20"/>
        </w:rPr>
        <w:t>Is your agency’s strategy or action plan available publicly on the internet, such as via your agency’s website (</w:t>
      </w:r>
      <w:r w:rsidRPr="00543FB5">
        <w:rPr>
          <w:i/>
          <w:sz w:val="20"/>
          <w:szCs w:val="20"/>
        </w:rPr>
        <w:t>Action area #1 minimum standards: Leadership and accountability</w:t>
      </w:r>
      <w:r w:rsidRPr="00543FB5">
        <w:rPr>
          <w:sz w:val="20"/>
          <w:szCs w:val="20"/>
        </w:rPr>
        <w:t>)?</w:t>
      </w:r>
    </w:p>
    <w:p w14:paraId="5183A8C4" w14:textId="77777777" w:rsidR="00381868" w:rsidRDefault="00381868" w:rsidP="00F9645E">
      <w:pPr>
        <w:pStyle w:val="ListParagraph"/>
        <w:numPr>
          <w:ilvl w:val="0"/>
          <w:numId w:val="13"/>
        </w:numPr>
      </w:pPr>
      <w:r>
        <w:t>Yes</w:t>
      </w:r>
    </w:p>
    <w:p w14:paraId="42EE49E2" w14:textId="77777777" w:rsidR="00381868" w:rsidRDefault="00381868" w:rsidP="00F9645E">
      <w:pPr>
        <w:pStyle w:val="ListParagraph"/>
        <w:numPr>
          <w:ilvl w:val="0"/>
          <w:numId w:val="13"/>
        </w:numPr>
      </w:pPr>
      <w:r>
        <w:t xml:space="preserve">No </w:t>
      </w:r>
    </w:p>
    <w:p w14:paraId="5B948C9C" w14:textId="77777777" w:rsidR="00381868" w:rsidRPr="00777043" w:rsidRDefault="00381868" w:rsidP="001926E2">
      <w:pPr>
        <w:rPr>
          <w:b/>
        </w:rPr>
      </w:pPr>
      <w:bookmarkStart w:id="1846" w:name="_Toc157595816"/>
      <w:bookmarkStart w:id="1847" w:name="_Toc165985820"/>
      <w:bookmarkStart w:id="1848" w:name="_Toc165991698"/>
      <w:bookmarkStart w:id="1849" w:name="_Toc166082996"/>
      <w:bookmarkStart w:id="1850" w:name="_Toc166160360"/>
      <w:bookmarkStart w:id="1851" w:name="_Toc166168059"/>
      <w:bookmarkStart w:id="1852" w:name="_Toc168329225"/>
      <w:bookmarkStart w:id="1853" w:name="_Toc168322881"/>
      <w:bookmarkStart w:id="1854" w:name="_Toc168387998"/>
      <w:bookmarkStart w:id="1855" w:name="_Toc168405653"/>
      <w:bookmarkStart w:id="1856" w:name="_Toc168408691"/>
      <w:bookmarkStart w:id="1857" w:name="_Toc168411093"/>
      <w:bookmarkStart w:id="1858" w:name="_Toc168405952"/>
      <w:bookmarkStart w:id="1859" w:name="_Toc168473760"/>
      <w:bookmarkStart w:id="1860" w:name="_Toc168471658"/>
      <w:bookmarkStart w:id="1861" w:name="_Toc168484718"/>
      <w:bookmarkStart w:id="1862" w:name="_Toc168495186"/>
      <w:bookmarkStart w:id="1863" w:name="_Toc168495635"/>
      <w:bookmarkStart w:id="1864" w:name="_Toc169103301"/>
      <w:bookmarkStart w:id="1865" w:name="_Toc169104775"/>
      <w:bookmarkStart w:id="1866" w:name="_Toc169278491"/>
      <w:r w:rsidRPr="00777043">
        <w:rPr>
          <w:b/>
        </w:rPr>
        <w:t>Gender Equality Strategy implementation</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6CE310BD" w14:textId="28E52FC8" w:rsidR="00381868" w:rsidRPr="00543FB5" w:rsidRDefault="00381868" w:rsidP="00777043">
      <w:pPr>
        <w:spacing w:after="240"/>
        <w:rPr>
          <w:szCs w:val="20"/>
        </w:rPr>
      </w:pPr>
      <w:r w:rsidRPr="00543FB5">
        <w:rPr>
          <w:szCs w:val="20"/>
        </w:rPr>
        <w:t xml:space="preserve">This section asks questions about the implementation of the </w:t>
      </w:r>
      <w:hyperlink r:id="rId85" w:history="1">
        <w:r w:rsidRPr="00543FB5">
          <w:rPr>
            <w:rStyle w:val="Hyperlink"/>
            <w:szCs w:val="20"/>
          </w:rPr>
          <w:t>Australian Public Service Gender Equality Strategy 2021-26</w:t>
        </w:r>
      </w:hyperlink>
      <w:r w:rsidRPr="00543FB5">
        <w:rPr>
          <w:szCs w:val="20"/>
        </w:rPr>
        <w:t xml:space="preserve"> in your agency. </w:t>
      </w:r>
    </w:p>
    <w:p w14:paraId="5E061B38" w14:textId="77777777" w:rsidR="00381868" w:rsidRPr="00543FB5" w:rsidRDefault="00381868" w:rsidP="00381868">
      <w:pPr>
        <w:pStyle w:val="ListNumber"/>
        <w:rPr>
          <w:sz w:val="20"/>
          <w:szCs w:val="20"/>
        </w:rPr>
      </w:pPr>
      <w:r w:rsidRPr="00543FB5">
        <w:rPr>
          <w:sz w:val="20"/>
          <w:szCs w:val="20"/>
        </w:rPr>
        <w:t>Which of the following has your agency used to implement the Australian Public Service Gender Equality Strategy 2021-2026?</w:t>
      </w:r>
    </w:p>
    <w:p w14:paraId="2B4F173A" w14:textId="77777777" w:rsidR="00381868" w:rsidRPr="00543FB5" w:rsidRDefault="00381868" w:rsidP="00381868">
      <w:pPr>
        <w:pStyle w:val="ListNumber"/>
        <w:numPr>
          <w:ilvl w:val="0"/>
          <w:numId w:val="0"/>
        </w:numPr>
        <w:rPr>
          <w:sz w:val="20"/>
          <w:szCs w:val="20"/>
        </w:rPr>
      </w:pPr>
    </w:p>
    <w:p w14:paraId="143AC46B" w14:textId="77777777" w:rsidR="00381868" w:rsidRPr="00543FB5" w:rsidRDefault="00381868" w:rsidP="00777043">
      <w:pPr>
        <w:pStyle w:val="ListNumber"/>
        <w:numPr>
          <w:ilvl w:val="0"/>
          <w:numId w:val="0"/>
        </w:numPr>
        <w:ind w:firstLine="360"/>
        <w:rPr>
          <w:sz w:val="20"/>
          <w:szCs w:val="20"/>
        </w:rPr>
      </w:pPr>
      <w:r w:rsidRPr="00543FB5">
        <w:rPr>
          <w:color w:val="7F7F7F" w:themeColor="accent6"/>
          <w:sz w:val="20"/>
          <w:szCs w:val="20"/>
        </w:rPr>
        <w:t>[Please select all that apply]</w:t>
      </w:r>
    </w:p>
    <w:p w14:paraId="2D8E0720" w14:textId="77777777" w:rsidR="00381868" w:rsidRDefault="00381868" w:rsidP="00F9645E">
      <w:pPr>
        <w:pStyle w:val="ListParagraph"/>
        <w:numPr>
          <w:ilvl w:val="0"/>
          <w:numId w:val="16"/>
        </w:numPr>
      </w:pPr>
      <w:r>
        <w:t>Gender networks / gender champions</w:t>
      </w:r>
    </w:p>
    <w:p w14:paraId="3CB430B0" w14:textId="77777777" w:rsidR="00381868" w:rsidRDefault="00381868" w:rsidP="00F9645E">
      <w:pPr>
        <w:pStyle w:val="ListParagraph"/>
        <w:numPr>
          <w:ilvl w:val="0"/>
          <w:numId w:val="16"/>
        </w:numPr>
      </w:pPr>
      <w:r>
        <w:t>Staff tasked to action the deliverables</w:t>
      </w:r>
    </w:p>
    <w:p w14:paraId="67BCB683" w14:textId="77777777" w:rsidR="00381868" w:rsidRDefault="00381868" w:rsidP="00F9645E">
      <w:pPr>
        <w:pStyle w:val="ListParagraph"/>
        <w:numPr>
          <w:ilvl w:val="0"/>
          <w:numId w:val="16"/>
        </w:numPr>
      </w:pPr>
      <w:r>
        <w:t>Agency leadership</w:t>
      </w:r>
    </w:p>
    <w:p w14:paraId="4DB2B2FB" w14:textId="77777777" w:rsidR="00381868" w:rsidRPr="00F07748" w:rsidRDefault="00381868" w:rsidP="00F9645E">
      <w:pPr>
        <w:pStyle w:val="ListParagraph"/>
        <w:numPr>
          <w:ilvl w:val="0"/>
          <w:numId w:val="16"/>
        </w:numPr>
      </w:pPr>
      <w:r>
        <w:t>Other</w:t>
      </w:r>
      <w:r w:rsidRPr="00183F30">
        <w:t xml:space="preserve"> [Please specify]</w:t>
      </w:r>
    </w:p>
    <w:p w14:paraId="353246F5" w14:textId="77777777" w:rsidR="00381868" w:rsidRDefault="00381868" w:rsidP="00F9645E">
      <w:pPr>
        <w:pStyle w:val="ListParagraph"/>
        <w:numPr>
          <w:ilvl w:val="0"/>
          <w:numId w:val="16"/>
        </w:numPr>
      </w:pPr>
      <w:r>
        <w:t>None of the above</w:t>
      </w:r>
    </w:p>
    <w:p w14:paraId="7B615EE3" w14:textId="77777777" w:rsidR="00381868" w:rsidRPr="00543FB5" w:rsidRDefault="00381868" w:rsidP="00381868">
      <w:pPr>
        <w:pStyle w:val="ListNumber"/>
        <w:numPr>
          <w:ilvl w:val="0"/>
          <w:numId w:val="0"/>
        </w:numPr>
        <w:ind w:left="360"/>
        <w:rPr>
          <w:sz w:val="20"/>
          <w:szCs w:val="20"/>
        </w:rPr>
      </w:pPr>
    </w:p>
    <w:p w14:paraId="64D8FFE4" w14:textId="58D841CE" w:rsidR="00381868" w:rsidRPr="00543FB5" w:rsidRDefault="00381868" w:rsidP="00381868">
      <w:pPr>
        <w:pStyle w:val="ListNumber"/>
        <w:rPr>
          <w:sz w:val="20"/>
          <w:szCs w:val="20"/>
        </w:rPr>
      </w:pPr>
      <w:r w:rsidRPr="00543FB5">
        <w:rPr>
          <w:sz w:val="20"/>
          <w:szCs w:val="20"/>
        </w:rPr>
        <w:t xml:space="preserve">Has your agency encountered any of the following challenges in implementing the Australian Public Service Gender Equality Strategy 2021-2026? </w:t>
      </w:r>
    </w:p>
    <w:p w14:paraId="78B696E1" w14:textId="77777777" w:rsidR="00777043" w:rsidRDefault="00777043" w:rsidP="00381868">
      <w:pPr>
        <w:pStyle w:val="ListNumber"/>
        <w:numPr>
          <w:ilvl w:val="0"/>
          <w:numId w:val="0"/>
        </w:numPr>
        <w:tabs>
          <w:tab w:val="num" w:pos="360"/>
        </w:tabs>
        <w:rPr>
          <w:color w:val="7F7F7F" w:themeColor="accent6"/>
          <w:sz w:val="20"/>
          <w:szCs w:val="20"/>
        </w:rPr>
      </w:pPr>
    </w:p>
    <w:p w14:paraId="73DDB454" w14:textId="081DBD50" w:rsidR="00381868" w:rsidRPr="00543FB5" w:rsidRDefault="00381868" w:rsidP="00777043">
      <w:pPr>
        <w:pStyle w:val="ListNumber"/>
        <w:numPr>
          <w:ilvl w:val="0"/>
          <w:numId w:val="0"/>
        </w:numPr>
        <w:tabs>
          <w:tab w:val="num" w:pos="360"/>
        </w:tabs>
        <w:ind w:left="360"/>
        <w:rPr>
          <w:color w:val="7F7F7F" w:themeColor="accent6"/>
          <w:sz w:val="20"/>
          <w:szCs w:val="20"/>
        </w:rPr>
      </w:pPr>
      <w:r w:rsidRPr="00543FB5">
        <w:rPr>
          <w:color w:val="7F7F7F" w:themeColor="accent6"/>
          <w:sz w:val="20"/>
          <w:szCs w:val="20"/>
        </w:rPr>
        <w:t xml:space="preserve">[Question 8 will not be displayed if ‘my agency does not have a gender equality policy, strategy, or action plan covering this topic in place’ is selected for all topics in Q1] </w:t>
      </w:r>
    </w:p>
    <w:p w14:paraId="1B5BE6F0" w14:textId="77777777" w:rsidR="00381868" w:rsidRPr="00543FB5" w:rsidRDefault="00381868" w:rsidP="00381868">
      <w:pPr>
        <w:pStyle w:val="ListNumber"/>
        <w:numPr>
          <w:ilvl w:val="0"/>
          <w:numId w:val="0"/>
        </w:numPr>
        <w:tabs>
          <w:tab w:val="num" w:pos="360"/>
        </w:tabs>
        <w:rPr>
          <w:color w:val="7F7F7F" w:themeColor="accent6"/>
          <w:sz w:val="20"/>
          <w:szCs w:val="20"/>
        </w:rPr>
      </w:pPr>
    </w:p>
    <w:p w14:paraId="2FB758BC" w14:textId="36118A6C" w:rsidR="00381868" w:rsidRPr="00543FB5" w:rsidRDefault="00777043" w:rsidP="00381868">
      <w:pPr>
        <w:pStyle w:val="ListNumber"/>
        <w:numPr>
          <w:ilvl w:val="0"/>
          <w:numId w:val="0"/>
        </w:numPr>
        <w:tabs>
          <w:tab w:val="num" w:pos="360"/>
        </w:tabs>
        <w:rPr>
          <w:color w:val="7F7F7F" w:themeColor="accent6"/>
          <w:sz w:val="20"/>
          <w:szCs w:val="20"/>
        </w:rPr>
      </w:pPr>
      <w:r>
        <w:rPr>
          <w:color w:val="7F7F7F" w:themeColor="accent6"/>
          <w:sz w:val="20"/>
          <w:szCs w:val="20"/>
        </w:rPr>
        <w:tab/>
      </w:r>
      <w:r w:rsidR="00381868" w:rsidRPr="00543FB5">
        <w:rPr>
          <w:color w:val="7F7F7F" w:themeColor="accent6"/>
          <w:sz w:val="20"/>
          <w:szCs w:val="20"/>
        </w:rPr>
        <w:t>[Please select all that apply]</w:t>
      </w:r>
    </w:p>
    <w:p w14:paraId="27D3EC14" w14:textId="77777777" w:rsidR="00381868" w:rsidRDefault="00381868" w:rsidP="00F9645E">
      <w:pPr>
        <w:pStyle w:val="ListParagraph"/>
        <w:numPr>
          <w:ilvl w:val="0"/>
          <w:numId w:val="17"/>
        </w:numPr>
      </w:pPr>
      <w:r>
        <w:t>A lack of resources</w:t>
      </w:r>
    </w:p>
    <w:p w14:paraId="0814958F" w14:textId="77777777" w:rsidR="00381868" w:rsidRDefault="00381868" w:rsidP="00F9645E">
      <w:pPr>
        <w:pStyle w:val="ListParagraph"/>
        <w:numPr>
          <w:ilvl w:val="0"/>
          <w:numId w:val="17"/>
        </w:numPr>
      </w:pPr>
      <w:r>
        <w:t>Staff not tasked to action the deliverables</w:t>
      </w:r>
    </w:p>
    <w:p w14:paraId="18BA3DB5" w14:textId="77777777" w:rsidR="00381868" w:rsidRDefault="00381868" w:rsidP="00F9645E">
      <w:pPr>
        <w:pStyle w:val="ListParagraph"/>
        <w:numPr>
          <w:ilvl w:val="0"/>
          <w:numId w:val="17"/>
        </w:numPr>
      </w:pPr>
      <w:r>
        <w:t>Other</w:t>
      </w:r>
      <w:r w:rsidRPr="005D69A9">
        <w:t xml:space="preserve"> [Please specify]</w:t>
      </w:r>
    </w:p>
    <w:p w14:paraId="61C4F2F4" w14:textId="77777777" w:rsidR="00381868" w:rsidRDefault="00381868" w:rsidP="00F9645E">
      <w:pPr>
        <w:pStyle w:val="ListParagraph"/>
        <w:numPr>
          <w:ilvl w:val="0"/>
          <w:numId w:val="17"/>
        </w:numPr>
      </w:pPr>
      <w:r>
        <w:t>Our agency has not encountered challenges.</w:t>
      </w:r>
    </w:p>
    <w:p w14:paraId="5BA96470" w14:textId="77777777" w:rsidR="00381868" w:rsidRPr="00543FB5" w:rsidRDefault="00381868" w:rsidP="00381868">
      <w:pPr>
        <w:pStyle w:val="ListNumber"/>
        <w:rPr>
          <w:sz w:val="20"/>
          <w:szCs w:val="20"/>
        </w:rPr>
      </w:pPr>
      <w:r w:rsidRPr="00543FB5">
        <w:rPr>
          <w:sz w:val="20"/>
          <w:szCs w:val="20"/>
        </w:rPr>
        <w:t>In what ways, if any, has your agency created opportunities in the last 2 years to strengthen gender representation in select occupations such as Science, Technology, Engineering and Mathematics (STEM) and Service Delivery occupations (</w:t>
      </w:r>
      <w:r w:rsidRPr="00543FB5">
        <w:rPr>
          <w:i/>
          <w:sz w:val="20"/>
          <w:szCs w:val="20"/>
        </w:rPr>
        <w:t>Action area 3A</w:t>
      </w:r>
      <w:r w:rsidRPr="00543FB5">
        <w:rPr>
          <w:sz w:val="20"/>
          <w:szCs w:val="20"/>
        </w:rPr>
        <w:t>)?</w:t>
      </w:r>
    </w:p>
    <w:p w14:paraId="0E5BB532" w14:textId="72A73756"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6F42F5B6" w14:textId="77777777" w:rsidR="00381868" w:rsidRPr="00543FB5" w:rsidRDefault="00381868" w:rsidP="00381868">
      <w:pPr>
        <w:pStyle w:val="ListNumber"/>
        <w:numPr>
          <w:ilvl w:val="0"/>
          <w:numId w:val="0"/>
        </w:numPr>
        <w:ind w:left="360"/>
        <w:rPr>
          <w:sz w:val="20"/>
          <w:szCs w:val="20"/>
        </w:rPr>
      </w:pPr>
    </w:p>
    <w:p w14:paraId="76D93572" w14:textId="77777777" w:rsidR="00381868" w:rsidRPr="00543FB5" w:rsidRDefault="00381868" w:rsidP="00381868">
      <w:pPr>
        <w:pStyle w:val="ListNumber"/>
        <w:rPr>
          <w:sz w:val="20"/>
          <w:szCs w:val="20"/>
        </w:rPr>
      </w:pPr>
      <w:r w:rsidRPr="00543FB5">
        <w:rPr>
          <w:sz w:val="20"/>
          <w:szCs w:val="20"/>
        </w:rPr>
        <w:t>What were the most prominent opportunities to strengthen gender representation in select occupations that your agency has implemented (</w:t>
      </w:r>
      <w:r w:rsidRPr="00543FB5">
        <w:rPr>
          <w:i/>
          <w:sz w:val="20"/>
          <w:szCs w:val="20"/>
        </w:rPr>
        <w:t>Action area 3A</w:t>
      </w:r>
      <w:r w:rsidRPr="00543FB5">
        <w:rPr>
          <w:sz w:val="20"/>
          <w:szCs w:val="20"/>
        </w:rPr>
        <w:t>)? Did this include creating talent pipelines?</w:t>
      </w:r>
    </w:p>
    <w:p w14:paraId="23ADBF37" w14:textId="4914D67D"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5B8D768C" w14:textId="77777777" w:rsidR="00381868" w:rsidRPr="00543FB5" w:rsidRDefault="00381868" w:rsidP="00381868">
      <w:pPr>
        <w:pStyle w:val="ListNumber"/>
        <w:numPr>
          <w:ilvl w:val="0"/>
          <w:numId w:val="0"/>
        </w:numPr>
        <w:rPr>
          <w:sz w:val="20"/>
          <w:szCs w:val="20"/>
        </w:rPr>
      </w:pPr>
    </w:p>
    <w:p w14:paraId="5D09C355" w14:textId="77777777" w:rsidR="00381868" w:rsidRPr="00543FB5" w:rsidRDefault="00381868" w:rsidP="00381868">
      <w:pPr>
        <w:pStyle w:val="ListNumber"/>
        <w:rPr>
          <w:sz w:val="20"/>
          <w:szCs w:val="20"/>
        </w:rPr>
      </w:pPr>
      <w:r w:rsidRPr="00543FB5">
        <w:rPr>
          <w:sz w:val="20"/>
          <w:szCs w:val="20"/>
        </w:rPr>
        <w:t>Does your agency provide details of their commitment to gender equality and inclusion in their (</w:t>
      </w:r>
      <w:r w:rsidRPr="00543FB5">
        <w:rPr>
          <w:i/>
          <w:sz w:val="20"/>
          <w:szCs w:val="20"/>
        </w:rPr>
        <w:t>Action area #3 minimum standards: Shifting gender stereotypes</w:t>
      </w:r>
      <w:r w:rsidRPr="00543FB5">
        <w:rPr>
          <w:sz w:val="20"/>
          <w:szCs w:val="20"/>
        </w:rPr>
        <w:t>):</w:t>
      </w:r>
    </w:p>
    <w:p w14:paraId="5A9771FD" w14:textId="77777777" w:rsidR="00381868" w:rsidRPr="00543FB5" w:rsidRDefault="00381868" w:rsidP="00777043">
      <w:pPr>
        <w:ind w:firstLine="360"/>
        <w:rPr>
          <w:color w:val="7F7F7F" w:themeColor="accent6"/>
          <w:szCs w:val="20"/>
        </w:rPr>
      </w:pPr>
      <w:r w:rsidRPr="00543FB5">
        <w:rPr>
          <w:color w:val="7F7F7F" w:themeColor="accent6"/>
          <w:szCs w:val="20"/>
        </w:rPr>
        <w:t>[Please select all that apply]</w:t>
      </w:r>
    </w:p>
    <w:p w14:paraId="7EFCD624" w14:textId="77777777" w:rsidR="00381868" w:rsidRDefault="00381868" w:rsidP="00F9645E">
      <w:pPr>
        <w:pStyle w:val="ListParagraph"/>
        <w:numPr>
          <w:ilvl w:val="0"/>
          <w:numId w:val="18"/>
        </w:numPr>
      </w:pPr>
      <w:r>
        <w:t>Recruitment materials</w:t>
      </w:r>
    </w:p>
    <w:p w14:paraId="44B01E1C" w14:textId="77777777" w:rsidR="00381868" w:rsidRDefault="00381868" w:rsidP="00F9645E">
      <w:pPr>
        <w:pStyle w:val="ListParagraph"/>
        <w:numPr>
          <w:ilvl w:val="0"/>
          <w:numId w:val="18"/>
        </w:numPr>
      </w:pPr>
      <w:r>
        <w:t>Induction materials</w:t>
      </w:r>
    </w:p>
    <w:p w14:paraId="337FFBE7" w14:textId="77777777" w:rsidR="00381868" w:rsidRDefault="00381868" w:rsidP="00F9645E">
      <w:pPr>
        <w:pStyle w:val="ListParagraph"/>
        <w:numPr>
          <w:ilvl w:val="0"/>
          <w:numId w:val="18"/>
        </w:numPr>
      </w:pPr>
      <w:r>
        <w:t xml:space="preserve">Other </w:t>
      </w:r>
      <w:r w:rsidRPr="00E8684E">
        <w:t>[please specify]</w:t>
      </w:r>
    </w:p>
    <w:p w14:paraId="1C91A86D" w14:textId="77777777" w:rsidR="00381868" w:rsidRDefault="00381868" w:rsidP="00F9645E">
      <w:pPr>
        <w:pStyle w:val="ListParagraph"/>
        <w:numPr>
          <w:ilvl w:val="0"/>
          <w:numId w:val="18"/>
        </w:numPr>
      </w:pPr>
      <w:r>
        <w:t>None of the above</w:t>
      </w:r>
    </w:p>
    <w:p w14:paraId="1AF724DB" w14:textId="7B66DEE6" w:rsidR="00381868" w:rsidRPr="00543FB5" w:rsidRDefault="00381868" w:rsidP="00381868">
      <w:pPr>
        <w:pStyle w:val="ListNumber"/>
        <w:rPr>
          <w:sz w:val="20"/>
          <w:szCs w:val="20"/>
        </w:rPr>
      </w:pPr>
      <w:r w:rsidRPr="00543FB5">
        <w:rPr>
          <w:sz w:val="20"/>
          <w:szCs w:val="20"/>
        </w:rPr>
        <w:t xml:space="preserve">Please tell us the communication methods your agency has reviewed for gender inclusive language and images as part of your implementation of the </w:t>
      </w:r>
      <w:hyperlink r:id="rId86" w:history="1">
        <w:r w:rsidRPr="00543FB5">
          <w:rPr>
            <w:rStyle w:val="Hyperlink"/>
            <w:sz w:val="20"/>
            <w:szCs w:val="20"/>
          </w:rPr>
          <w:t>Australian Public Service Gender Equality Strategy 2021-2026</w:t>
        </w:r>
      </w:hyperlink>
      <w:r w:rsidRPr="00543FB5">
        <w:rPr>
          <w:sz w:val="20"/>
          <w:szCs w:val="20"/>
        </w:rPr>
        <w:t xml:space="preserve"> (</w:t>
      </w:r>
      <w:r w:rsidRPr="00543FB5">
        <w:rPr>
          <w:i/>
          <w:sz w:val="20"/>
          <w:szCs w:val="20"/>
        </w:rPr>
        <w:t>Action area 2B</w:t>
      </w:r>
      <w:r w:rsidRPr="00543FB5">
        <w:rPr>
          <w:sz w:val="20"/>
          <w:szCs w:val="20"/>
        </w:rPr>
        <w:t>)?</w:t>
      </w:r>
    </w:p>
    <w:p w14:paraId="164DB56F" w14:textId="77777777" w:rsidR="00381868" w:rsidRPr="00543FB5" w:rsidRDefault="00381868" w:rsidP="00381868">
      <w:pPr>
        <w:pStyle w:val="ListNumber"/>
        <w:numPr>
          <w:ilvl w:val="0"/>
          <w:numId w:val="0"/>
        </w:numPr>
        <w:ind w:left="360"/>
        <w:rPr>
          <w:sz w:val="20"/>
          <w:szCs w:val="20"/>
        </w:rPr>
      </w:pPr>
    </w:p>
    <w:p w14:paraId="3E362EED" w14:textId="77777777" w:rsidR="00381868" w:rsidRPr="00543FB5" w:rsidRDefault="00381868" w:rsidP="00381868">
      <w:pPr>
        <w:pStyle w:val="ListNumber"/>
        <w:numPr>
          <w:ilvl w:val="0"/>
          <w:numId w:val="0"/>
        </w:numPr>
        <w:ind w:left="360"/>
        <w:rPr>
          <w:color w:val="7F7F7F" w:themeColor="accent6"/>
          <w:sz w:val="20"/>
          <w:szCs w:val="20"/>
        </w:rPr>
      </w:pPr>
      <w:r w:rsidRPr="00543FB5">
        <w:rPr>
          <w:color w:val="7F7F7F" w:themeColor="accent6"/>
          <w:sz w:val="20"/>
          <w:szCs w:val="20"/>
        </w:rPr>
        <w:t>[Please select all that apply]</w:t>
      </w:r>
    </w:p>
    <w:p w14:paraId="3FB31E80" w14:textId="77777777" w:rsidR="00381868" w:rsidRDefault="00381868" w:rsidP="00F9645E">
      <w:pPr>
        <w:pStyle w:val="ListParagraph"/>
        <w:numPr>
          <w:ilvl w:val="0"/>
          <w:numId w:val="19"/>
        </w:numPr>
      </w:pPr>
      <w:r>
        <w:t>Agency intranet</w:t>
      </w:r>
    </w:p>
    <w:p w14:paraId="55A5FDA0" w14:textId="77777777" w:rsidR="00381868" w:rsidRDefault="00381868" w:rsidP="00F9645E">
      <w:pPr>
        <w:pStyle w:val="ListParagraph"/>
        <w:numPr>
          <w:ilvl w:val="0"/>
          <w:numId w:val="19"/>
        </w:numPr>
      </w:pPr>
      <w:r>
        <w:t>Agency website</w:t>
      </w:r>
    </w:p>
    <w:p w14:paraId="5BFFB6E5" w14:textId="77777777" w:rsidR="00381868" w:rsidRDefault="00381868" w:rsidP="00F9645E">
      <w:pPr>
        <w:pStyle w:val="ListParagraph"/>
        <w:numPr>
          <w:ilvl w:val="0"/>
          <w:numId w:val="19"/>
        </w:numPr>
      </w:pPr>
      <w:r>
        <w:t>Internal policy documents</w:t>
      </w:r>
    </w:p>
    <w:p w14:paraId="7C184BE0" w14:textId="77777777" w:rsidR="00381868" w:rsidRDefault="00381868" w:rsidP="00F9645E">
      <w:pPr>
        <w:pStyle w:val="ListParagraph"/>
        <w:numPr>
          <w:ilvl w:val="0"/>
          <w:numId w:val="19"/>
        </w:numPr>
      </w:pPr>
      <w:r>
        <w:t>Recruitment ads</w:t>
      </w:r>
    </w:p>
    <w:p w14:paraId="363C8400" w14:textId="3AAD136F" w:rsidR="00381868" w:rsidRPr="00777043" w:rsidRDefault="00381868" w:rsidP="00F9645E">
      <w:pPr>
        <w:pStyle w:val="ListParagraph"/>
        <w:numPr>
          <w:ilvl w:val="0"/>
          <w:numId w:val="19"/>
        </w:numPr>
      </w:pPr>
      <w:r>
        <w:t xml:space="preserve">Other </w:t>
      </w:r>
      <w:r w:rsidRPr="00E8684E">
        <w:t>[please specify]</w:t>
      </w:r>
    </w:p>
    <w:p w14:paraId="4AA0D076" w14:textId="77777777" w:rsidR="00381868" w:rsidRDefault="00381868" w:rsidP="00F9645E">
      <w:pPr>
        <w:pStyle w:val="ListParagraph"/>
        <w:numPr>
          <w:ilvl w:val="0"/>
          <w:numId w:val="19"/>
        </w:numPr>
      </w:pPr>
      <w:r>
        <w:t>None of the above</w:t>
      </w:r>
    </w:p>
    <w:p w14:paraId="166A1E41" w14:textId="77777777" w:rsidR="00381868" w:rsidRPr="00543FB5" w:rsidRDefault="00381868" w:rsidP="00381868">
      <w:pPr>
        <w:pStyle w:val="ListNumber"/>
        <w:rPr>
          <w:sz w:val="20"/>
          <w:szCs w:val="20"/>
        </w:rPr>
      </w:pPr>
      <w:r w:rsidRPr="00543FB5">
        <w:rPr>
          <w:sz w:val="20"/>
          <w:szCs w:val="20"/>
        </w:rPr>
        <w:t>Are there any other comments you would like to make in relation to your agency’s commitment to gender equality?</w:t>
      </w:r>
    </w:p>
    <w:p w14:paraId="00175FDC" w14:textId="4DA0EAC7" w:rsidR="00381868" w:rsidRPr="00543FB5" w:rsidRDefault="00381868" w:rsidP="00381868">
      <w:pPr>
        <w:rPr>
          <w:szCs w:val="20"/>
        </w:rPr>
      </w:pPr>
      <w:r w:rsidRPr="00543FB5">
        <w:rPr>
          <w:szCs w:val="20"/>
        </w:rPr>
        <w:t>__________________________________________________________________________________________________________________________________________________________________</w:t>
      </w:r>
    </w:p>
    <w:p w14:paraId="76CB4E23" w14:textId="77777777" w:rsidR="00381868" w:rsidRPr="00777043" w:rsidRDefault="00381868" w:rsidP="001926E2">
      <w:pPr>
        <w:rPr>
          <w:b/>
        </w:rPr>
      </w:pPr>
      <w:bookmarkStart w:id="1867" w:name="_Toc157595817"/>
      <w:bookmarkStart w:id="1868" w:name="_Toc165985821"/>
      <w:bookmarkStart w:id="1869" w:name="_Toc165991699"/>
      <w:bookmarkStart w:id="1870" w:name="_Toc166082997"/>
      <w:bookmarkStart w:id="1871" w:name="_Toc166160361"/>
      <w:bookmarkStart w:id="1872" w:name="_Toc166168060"/>
      <w:bookmarkStart w:id="1873" w:name="_Toc168329226"/>
      <w:bookmarkStart w:id="1874" w:name="_Toc168322882"/>
      <w:bookmarkStart w:id="1875" w:name="_Toc168387999"/>
      <w:bookmarkStart w:id="1876" w:name="_Toc168405654"/>
      <w:bookmarkStart w:id="1877" w:name="_Toc168408692"/>
      <w:bookmarkStart w:id="1878" w:name="_Toc168411094"/>
      <w:bookmarkStart w:id="1879" w:name="_Toc168405953"/>
      <w:bookmarkStart w:id="1880" w:name="_Toc168473761"/>
      <w:bookmarkStart w:id="1881" w:name="_Toc168471659"/>
      <w:bookmarkStart w:id="1882" w:name="_Toc168484719"/>
      <w:bookmarkStart w:id="1883" w:name="_Toc168495187"/>
      <w:bookmarkStart w:id="1884" w:name="_Toc168495636"/>
      <w:bookmarkStart w:id="1885" w:name="_Toc169103302"/>
      <w:bookmarkStart w:id="1886" w:name="_Toc169104776"/>
      <w:bookmarkStart w:id="1887" w:name="_Toc169278492"/>
      <w:r w:rsidRPr="00777043">
        <w:rPr>
          <w:b/>
        </w:rPr>
        <w:lastRenderedPageBreak/>
        <w:t>Leadership</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14:paraId="70819C68" w14:textId="34821631" w:rsidR="00381868" w:rsidRPr="00543FB5" w:rsidRDefault="00381868" w:rsidP="00777043">
      <w:pPr>
        <w:spacing w:after="240"/>
        <w:rPr>
          <w:szCs w:val="20"/>
        </w:rPr>
      </w:pPr>
      <w:r w:rsidRPr="00543FB5">
        <w:rPr>
          <w:szCs w:val="20"/>
        </w:rPr>
        <w:t xml:space="preserve">The </w:t>
      </w:r>
      <w:hyperlink r:id="rId87" w:history="1">
        <w:r w:rsidRPr="00543FB5">
          <w:rPr>
            <w:rStyle w:val="Hyperlink"/>
            <w:szCs w:val="20"/>
          </w:rPr>
          <w:t>Australian Public Service Gender Equality Strategy 2021-26</w:t>
        </w:r>
      </w:hyperlink>
      <w:r w:rsidRPr="00543FB5">
        <w:rPr>
          <w:szCs w:val="20"/>
        </w:rPr>
        <w:t xml:space="preserve"> </w:t>
      </w:r>
      <w:r w:rsidRPr="00543FB5">
        <w:rPr>
          <w:i/>
          <w:szCs w:val="20"/>
        </w:rPr>
        <w:t>Action area #1</w:t>
      </w:r>
      <w:r w:rsidRPr="00543FB5">
        <w:rPr>
          <w:szCs w:val="20"/>
        </w:rPr>
        <w:t xml:space="preserve"> relates to leadership and accountability.</w:t>
      </w:r>
    </w:p>
    <w:p w14:paraId="375A4030" w14:textId="77777777" w:rsidR="00381868" w:rsidRPr="00543FB5" w:rsidRDefault="00381868" w:rsidP="00381868">
      <w:pPr>
        <w:pStyle w:val="ListNumber"/>
        <w:rPr>
          <w:sz w:val="20"/>
          <w:szCs w:val="20"/>
        </w:rPr>
      </w:pPr>
      <w:r w:rsidRPr="00543FB5">
        <w:rPr>
          <w:sz w:val="20"/>
          <w:szCs w:val="20"/>
        </w:rPr>
        <w:t>In what ways, if any, do leaders in your agency engage with employees in relation to gender equality (</w:t>
      </w:r>
      <w:r w:rsidRPr="00543FB5">
        <w:rPr>
          <w:i/>
          <w:sz w:val="20"/>
          <w:szCs w:val="20"/>
        </w:rPr>
        <w:t>Action area 1B</w:t>
      </w:r>
      <w:r w:rsidRPr="00543FB5">
        <w:rPr>
          <w:sz w:val="20"/>
          <w:szCs w:val="20"/>
        </w:rPr>
        <w:t>)?</w:t>
      </w:r>
    </w:p>
    <w:p w14:paraId="1C5D3566" w14:textId="327B3F32" w:rsidR="00381868" w:rsidRPr="00543FB5" w:rsidRDefault="00381868" w:rsidP="00381868">
      <w:pPr>
        <w:rPr>
          <w:szCs w:val="20"/>
        </w:rPr>
      </w:pPr>
      <w:r w:rsidRPr="00543FB5">
        <w:rPr>
          <w:szCs w:val="20"/>
        </w:rPr>
        <w:t>__________________________________________________________________________________________________________________________________________________________________</w:t>
      </w:r>
    </w:p>
    <w:p w14:paraId="3ED65A3A" w14:textId="77777777" w:rsidR="00381868" w:rsidRPr="00543FB5" w:rsidRDefault="00381868" w:rsidP="00381868">
      <w:pPr>
        <w:pStyle w:val="ListNumber"/>
        <w:numPr>
          <w:ilvl w:val="0"/>
          <w:numId w:val="0"/>
        </w:numPr>
        <w:ind w:left="360"/>
        <w:rPr>
          <w:sz w:val="20"/>
          <w:szCs w:val="20"/>
        </w:rPr>
      </w:pPr>
    </w:p>
    <w:p w14:paraId="40504A8C" w14:textId="77777777" w:rsidR="00381868" w:rsidRPr="00543FB5" w:rsidRDefault="00381868" w:rsidP="00381868">
      <w:pPr>
        <w:pStyle w:val="ListNumber"/>
        <w:rPr>
          <w:sz w:val="20"/>
          <w:szCs w:val="20"/>
        </w:rPr>
      </w:pPr>
      <w:r w:rsidRPr="00543FB5">
        <w:rPr>
          <w:sz w:val="20"/>
          <w:szCs w:val="20"/>
        </w:rPr>
        <w:t>Have leaders in your agency</w:t>
      </w:r>
      <w:r w:rsidRPr="00543FB5" w:rsidDel="001B072C">
        <w:rPr>
          <w:sz w:val="20"/>
          <w:szCs w:val="20"/>
        </w:rPr>
        <w:t xml:space="preserve"> </w:t>
      </w:r>
      <w:r w:rsidRPr="00543FB5">
        <w:rPr>
          <w:sz w:val="20"/>
          <w:szCs w:val="20"/>
        </w:rPr>
        <w:t>spoken about gender equality at public engagements (</w:t>
      </w:r>
      <w:r w:rsidRPr="00543FB5">
        <w:rPr>
          <w:i/>
          <w:sz w:val="20"/>
          <w:szCs w:val="20"/>
        </w:rPr>
        <w:t>Action area #6 minimum standards: Leveraging our external influences</w:t>
      </w:r>
      <w:r w:rsidRPr="00543FB5">
        <w:rPr>
          <w:sz w:val="20"/>
          <w:szCs w:val="20"/>
        </w:rPr>
        <w:t>)?</w:t>
      </w:r>
    </w:p>
    <w:p w14:paraId="6348B0C7" w14:textId="77777777" w:rsidR="00381868" w:rsidRDefault="00381868" w:rsidP="00F9645E">
      <w:pPr>
        <w:pStyle w:val="ListParagraph"/>
        <w:numPr>
          <w:ilvl w:val="0"/>
          <w:numId w:val="27"/>
        </w:numPr>
      </w:pPr>
      <w:r>
        <w:t>Yes</w:t>
      </w:r>
    </w:p>
    <w:p w14:paraId="76B2ACEA" w14:textId="77777777" w:rsidR="00381868" w:rsidRDefault="00381868" w:rsidP="00F9645E">
      <w:pPr>
        <w:pStyle w:val="ListParagraph"/>
        <w:numPr>
          <w:ilvl w:val="0"/>
          <w:numId w:val="27"/>
        </w:numPr>
      </w:pPr>
      <w:r>
        <w:t>No</w:t>
      </w:r>
    </w:p>
    <w:p w14:paraId="0A50E53B" w14:textId="77777777" w:rsidR="00381868" w:rsidRPr="00543FB5" w:rsidRDefault="00381868" w:rsidP="00381868">
      <w:pPr>
        <w:pStyle w:val="ListNumber"/>
        <w:rPr>
          <w:rStyle w:val="ui-provider"/>
          <w:sz w:val="20"/>
          <w:szCs w:val="20"/>
        </w:rPr>
      </w:pPr>
      <w:r w:rsidRPr="00543FB5">
        <w:rPr>
          <w:rStyle w:val="ui-provider"/>
          <w:sz w:val="20"/>
          <w:szCs w:val="20"/>
        </w:rPr>
        <w:t>In what ways, if any, has your agency demonstrated leadership on gender equality beyond the workplace in its relationships with industry and communities (</w:t>
      </w:r>
      <w:r w:rsidRPr="00543FB5">
        <w:rPr>
          <w:rStyle w:val="ui-provider"/>
          <w:i/>
          <w:sz w:val="20"/>
          <w:szCs w:val="20"/>
        </w:rPr>
        <w:t>Action area 6B</w:t>
      </w:r>
      <w:r w:rsidRPr="00543FB5">
        <w:rPr>
          <w:rStyle w:val="ui-provider"/>
          <w:sz w:val="20"/>
          <w:szCs w:val="20"/>
        </w:rPr>
        <w:t>)?</w:t>
      </w:r>
    </w:p>
    <w:p w14:paraId="5C76C56C" w14:textId="77ADF551"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0C8EA3EF" w14:textId="77777777" w:rsidR="00381868" w:rsidRPr="00543FB5" w:rsidRDefault="00381868" w:rsidP="00381868">
      <w:pPr>
        <w:pStyle w:val="ListNumber"/>
        <w:numPr>
          <w:ilvl w:val="0"/>
          <w:numId w:val="0"/>
        </w:numPr>
        <w:ind w:left="360"/>
        <w:rPr>
          <w:sz w:val="20"/>
          <w:szCs w:val="20"/>
        </w:rPr>
      </w:pPr>
    </w:p>
    <w:p w14:paraId="5733B8E7" w14:textId="77777777" w:rsidR="00381868" w:rsidRPr="00543FB5" w:rsidRDefault="00381868" w:rsidP="00381868">
      <w:pPr>
        <w:pStyle w:val="ListNumber"/>
        <w:rPr>
          <w:sz w:val="20"/>
          <w:szCs w:val="20"/>
        </w:rPr>
      </w:pPr>
      <w:r w:rsidRPr="00543FB5">
        <w:rPr>
          <w:sz w:val="20"/>
          <w:szCs w:val="20"/>
        </w:rPr>
        <w:t>Would your agency like to provide a case study of how leaders in your agency have demonstrated exemplary commitment to gender equality through actions, words or engagements? If yes, please provide details.</w:t>
      </w:r>
    </w:p>
    <w:p w14:paraId="76494EC8" w14:textId="15E5BD51"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756038D4" w14:textId="77777777" w:rsidR="00381868" w:rsidRPr="00543FB5" w:rsidRDefault="00381868" w:rsidP="00381868">
      <w:pPr>
        <w:pStyle w:val="ListNumber"/>
        <w:numPr>
          <w:ilvl w:val="0"/>
          <w:numId w:val="0"/>
        </w:numPr>
        <w:rPr>
          <w:sz w:val="20"/>
          <w:szCs w:val="20"/>
        </w:rPr>
      </w:pPr>
    </w:p>
    <w:p w14:paraId="077105B2" w14:textId="77777777" w:rsidR="00381868" w:rsidRPr="00777043" w:rsidRDefault="00381868" w:rsidP="001926E2">
      <w:pPr>
        <w:rPr>
          <w:b/>
        </w:rPr>
      </w:pPr>
      <w:bookmarkStart w:id="1888" w:name="_Toc157595818"/>
      <w:bookmarkStart w:id="1889" w:name="_Toc165985822"/>
      <w:bookmarkStart w:id="1890" w:name="_Toc165991700"/>
      <w:bookmarkStart w:id="1891" w:name="_Toc166082998"/>
      <w:bookmarkStart w:id="1892" w:name="_Toc166160362"/>
      <w:bookmarkStart w:id="1893" w:name="_Toc166168061"/>
      <w:bookmarkStart w:id="1894" w:name="_Toc168329227"/>
      <w:bookmarkStart w:id="1895" w:name="_Toc168322883"/>
      <w:bookmarkStart w:id="1896" w:name="_Toc168388000"/>
      <w:bookmarkStart w:id="1897" w:name="_Toc168405655"/>
      <w:bookmarkStart w:id="1898" w:name="_Toc168408693"/>
      <w:bookmarkStart w:id="1899" w:name="_Toc168411095"/>
      <w:bookmarkStart w:id="1900" w:name="_Toc168405954"/>
      <w:bookmarkStart w:id="1901" w:name="_Toc168473762"/>
      <w:bookmarkStart w:id="1902" w:name="_Toc168471660"/>
      <w:bookmarkStart w:id="1903" w:name="_Toc168484720"/>
      <w:bookmarkStart w:id="1904" w:name="_Toc168495188"/>
      <w:bookmarkStart w:id="1905" w:name="_Toc168495637"/>
      <w:bookmarkStart w:id="1906" w:name="_Toc169103303"/>
      <w:bookmarkStart w:id="1907" w:name="_Toc169104777"/>
      <w:bookmarkStart w:id="1908" w:name="_Toc169278493"/>
      <w:r w:rsidRPr="00777043">
        <w:rPr>
          <w:b/>
        </w:rPr>
        <w:t>Preventing gender-based unacceptable behaviours and unlawful conduct</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15F427B4" w14:textId="7D9A1A5B" w:rsidR="00381868" w:rsidRPr="00543FB5" w:rsidRDefault="00381868" w:rsidP="00777043">
      <w:pPr>
        <w:spacing w:after="240"/>
        <w:rPr>
          <w:szCs w:val="20"/>
        </w:rPr>
      </w:pPr>
      <w:r w:rsidRPr="00543FB5">
        <w:rPr>
          <w:szCs w:val="20"/>
        </w:rPr>
        <w:t xml:space="preserve">This section asks questions relevant to Action Area #2: Respectful Workplaces &amp; Empowered People of the </w:t>
      </w:r>
      <w:hyperlink r:id="rId88" w:history="1">
        <w:r w:rsidRPr="00543FB5">
          <w:rPr>
            <w:rStyle w:val="Hyperlink"/>
            <w:szCs w:val="20"/>
          </w:rPr>
          <w:t>Australian Public Service Gender Equality Strategy 2021-26</w:t>
        </w:r>
      </w:hyperlink>
      <w:r w:rsidRPr="00543FB5">
        <w:rPr>
          <w:szCs w:val="20"/>
        </w:rPr>
        <w:t>.</w:t>
      </w:r>
    </w:p>
    <w:p w14:paraId="52A3D40B" w14:textId="77777777" w:rsidR="00381868" w:rsidRPr="00543FB5" w:rsidRDefault="00381868" w:rsidP="00777043">
      <w:pPr>
        <w:pStyle w:val="ListNumber"/>
        <w:spacing w:after="240"/>
        <w:ind w:left="357" w:hanging="357"/>
        <w:rPr>
          <w:sz w:val="20"/>
          <w:szCs w:val="20"/>
        </w:rPr>
      </w:pPr>
      <w:r w:rsidRPr="00543FB5">
        <w:rPr>
          <w:sz w:val="20"/>
          <w:szCs w:val="20"/>
        </w:rPr>
        <w:t>In the last 2 years, has your agency offered training, information sessions, or other forms of education on:</w:t>
      </w:r>
    </w:p>
    <w:p w14:paraId="5DE5933F" w14:textId="77777777" w:rsidR="00777043" w:rsidRDefault="00777043" w:rsidP="00381868">
      <w:pPr>
        <w:pStyle w:val="ListNumber"/>
        <w:numPr>
          <w:ilvl w:val="0"/>
          <w:numId w:val="0"/>
        </w:numPr>
        <w:rPr>
          <w:color w:val="7F7F7F" w:themeColor="accent6"/>
          <w:sz w:val="20"/>
          <w:szCs w:val="20"/>
        </w:rPr>
      </w:pPr>
    </w:p>
    <w:p w14:paraId="720A97EA" w14:textId="41C28142" w:rsidR="00381868" w:rsidRPr="00543FB5" w:rsidRDefault="00381868" w:rsidP="00777043">
      <w:pPr>
        <w:pStyle w:val="ListNumber"/>
        <w:numPr>
          <w:ilvl w:val="0"/>
          <w:numId w:val="0"/>
        </w:numPr>
        <w:ind w:firstLine="357"/>
        <w:rPr>
          <w:color w:val="7F7F7F" w:themeColor="accent6"/>
          <w:sz w:val="20"/>
          <w:szCs w:val="20"/>
        </w:rPr>
      </w:pPr>
      <w:r w:rsidRPr="00543FB5">
        <w:rPr>
          <w:color w:val="7F7F7F" w:themeColor="accent6"/>
          <w:sz w:val="20"/>
          <w:szCs w:val="20"/>
        </w:rPr>
        <w:t>[Please select one option for each topic]</w:t>
      </w:r>
    </w:p>
    <w:p w14:paraId="1B72D7C2" w14:textId="77777777" w:rsidR="00381868" w:rsidRPr="00543FB5" w:rsidRDefault="00381868" w:rsidP="00381868">
      <w:pPr>
        <w:pStyle w:val="ListNumber"/>
        <w:numPr>
          <w:ilvl w:val="0"/>
          <w:numId w:val="0"/>
        </w:numPr>
        <w:rPr>
          <w:color w:val="7F7F7F" w:themeColor="accent6"/>
          <w:sz w:val="20"/>
          <w:szCs w:val="20"/>
        </w:rPr>
      </w:pPr>
    </w:p>
    <w:tbl>
      <w:tblPr>
        <w:tblStyle w:val="TableGrid"/>
        <w:tblW w:w="0" w:type="auto"/>
        <w:tblInd w:w="360" w:type="dxa"/>
        <w:tblLook w:val="04A0" w:firstRow="1" w:lastRow="0" w:firstColumn="1" w:lastColumn="0" w:noHBand="0" w:noVBand="1"/>
        <w:tblCaption w:val="APS Gender Equality Strategy Survey questions"/>
        <w:tblDescription w:val="Family domestic violence - yes or no&#10;Bullying - yes or no&#10;Discrimination - yes or no&#10;Secual harassment - yes or no"/>
      </w:tblPr>
      <w:tblGrid>
        <w:gridCol w:w="2281"/>
        <w:gridCol w:w="1660"/>
        <w:gridCol w:w="1790"/>
      </w:tblGrid>
      <w:tr w:rsidR="00381868" w14:paraId="6D03D587" w14:textId="77777777" w:rsidTr="0050080A">
        <w:trPr>
          <w:tblHeader/>
        </w:trPr>
        <w:tc>
          <w:tcPr>
            <w:tcW w:w="2281" w:type="dxa"/>
            <w:shd w:val="clear" w:color="auto" w:fill="auto"/>
          </w:tcPr>
          <w:p w14:paraId="1FCBE8BF" w14:textId="77777777" w:rsidR="00381868" w:rsidRPr="00543FB5" w:rsidRDefault="00381868" w:rsidP="006B475D">
            <w:pPr>
              <w:pStyle w:val="ListNumber"/>
              <w:numPr>
                <w:ilvl w:val="0"/>
                <w:numId w:val="0"/>
              </w:numPr>
              <w:rPr>
                <w:sz w:val="20"/>
                <w:szCs w:val="20"/>
              </w:rPr>
            </w:pPr>
          </w:p>
        </w:tc>
        <w:tc>
          <w:tcPr>
            <w:tcW w:w="1660" w:type="dxa"/>
            <w:shd w:val="clear" w:color="auto" w:fill="auto"/>
          </w:tcPr>
          <w:p w14:paraId="6CACB4DC" w14:textId="77777777" w:rsidR="00381868" w:rsidRPr="00543FB5" w:rsidRDefault="00381868" w:rsidP="006B475D">
            <w:pPr>
              <w:pStyle w:val="ListNumber"/>
              <w:numPr>
                <w:ilvl w:val="0"/>
                <w:numId w:val="0"/>
              </w:numPr>
              <w:jc w:val="center"/>
              <w:rPr>
                <w:sz w:val="20"/>
                <w:szCs w:val="20"/>
              </w:rPr>
            </w:pPr>
            <w:r w:rsidRPr="00543FB5">
              <w:rPr>
                <w:sz w:val="20"/>
                <w:szCs w:val="20"/>
              </w:rPr>
              <w:t>Yes</w:t>
            </w:r>
          </w:p>
        </w:tc>
        <w:tc>
          <w:tcPr>
            <w:tcW w:w="1790" w:type="dxa"/>
            <w:shd w:val="clear" w:color="auto" w:fill="auto"/>
          </w:tcPr>
          <w:p w14:paraId="38A35515" w14:textId="77777777" w:rsidR="00381868" w:rsidRPr="00543FB5" w:rsidRDefault="00381868" w:rsidP="006B475D">
            <w:pPr>
              <w:pStyle w:val="ListNumber"/>
              <w:numPr>
                <w:ilvl w:val="0"/>
                <w:numId w:val="0"/>
              </w:numPr>
              <w:jc w:val="center"/>
              <w:rPr>
                <w:sz w:val="20"/>
                <w:szCs w:val="20"/>
              </w:rPr>
            </w:pPr>
            <w:r w:rsidRPr="00543FB5">
              <w:rPr>
                <w:sz w:val="20"/>
                <w:szCs w:val="20"/>
              </w:rPr>
              <w:t>No</w:t>
            </w:r>
          </w:p>
        </w:tc>
      </w:tr>
      <w:tr w:rsidR="00381868" w14:paraId="731404CA" w14:textId="77777777" w:rsidTr="006B475D">
        <w:tc>
          <w:tcPr>
            <w:tcW w:w="2281" w:type="dxa"/>
          </w:tcPr>
          <w:p w14:paraId="47238026" w14:textId="77777777" w:rsidR="00381868" w:rsidRPr="00543FB5" w:rsidRDefault="00381868" w:rsidP="006B475D">
            <w:pPr>
              <w:pStyle w:val="ListNumber"/>
              <w:numPr>
                <w:ilvl w:val="0"/>
                <w:numId w:val="0"/>
              </w:numPr>
              <w:rPr>
                <w:sz w:val="20"/>
                <w:szCs w:val="20"/>
              </w:rPr>
            </w:pPr>
            <w:r w:rsidRPr="00543FB5">
              <w:rPr>
                <w:sz w:val="20"/>
                <w:szCs w:val="20"/>
              </w:rPr>
              <w:t>Family domestic violence</w:t>
            </w:r>
          </w:p>
        </w:tc>
        <w:tc>
          <w:tcPr>
            <w:tcW w:w="1660" w:type="dxa"/>
          </w:tcPr>
          <w:p w14:paraId="37F7FF0E" w14:textId="0E7D2197" w:rsidR="00381868" w:rsidRPr="00543FB5" w:rsidRDefault="00260D55" w:rsidP="006B475D">
            <w:pPr>
              <w:pStyle w:val="ListNumber"/>
              <w:numPr>
                <w:ilvl w:val="0"/>
                <w:numId w:val="0"/>
              </w:numPr>
              <w:jc w:val="center"/>
              <w:rPr>
                <w:sz w:val="20"/>
                <w:szCs w:val="20"/>
              </w:rPr>
            </w:pPr>
            <w:sdt>
              <w:sdtPr>
                <w:rPr>
                  <w:sz w:val="20"/>
                  <w:szCs w:val="20"/>
                </w:rPr>
                <w:id w:val="-1930344482"/>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1790" w:type="dxa"/>
          </w:tcPr>
          <w:p w14:paraId="4000A057" w14:textId="792E43D5" w:rsidR="00381868" w:rsidRPr="00543FB5" w:rsidRDefault="00260D55" w:rsidP="006B475D">
            <w:pPr>
              <w:pStyle w:val="ListNumber"/>
              <w:numPr>
                <w:ilvl w:val="0"/>
                <w:numId w:val="0"/>
              </w:numPr>
              <w:jc w:val="center"/>
              <w:rPr>
                <w:sz w:val="20"/>
                <w:szCs w:val="20"/>
              </w:rPr>
            </w:pPr>
            <w:sdt>
              <w:sdtPr>
                <w:rPr>
                  <w:sz w:val="20"/>
                  <w:szCs w:val="20"/>
                </w:rPr>
                <w:id w:val="1785768995"/>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6F9D2168" w14:textId="77777777" w:rsidTr="006B475D">
        <w:tc>
          <w:tcPr>
            <w:tcW w:w="2281" w:type="dxa"/>
          </w:tcPr>
          <w:p w14:paraId="6208BBC2" w14:textId="77777777" w:rsidR="00381868" w:rsidRPr="00543FB5" w:rsidRDefault="00381868" w:rsidP="006B475D">
            <w:pPr>
              <w:pStyle w:val="ListNumber"/>
              <w:numPr>
                <w:ilvl w:val="0"/>
                <w:numId w:val="0"/>
              </w:numPr>
              <w:rPr>
                <w:sz w:val="20"/>
                <w:szCs w:val="20"/>
              </w:rPr>
            </w:pPr>
            <w:r w:rsidRPr="00543FB5">
              <w:rPr>
                <w:sz w:val="20"/>
                <w:szCs w:val="20"/>
              </w:rPr>
              <w:t>Bullying</w:t>
            </w:r>
          </w:p>
        </w:tc>
        <w:tc>
          <w:tcPr>
            <w:tcW w:w="1660" w:type="dxa"/>
          </w:tcPr>
          <w:p w14:paraId="0417DD6B" w14:textId="3500EDE5" w:rsidR="00381868" w:rsidRPr="00543FB5" w:rsidRDefault="00260D55" w:rsidP="006B475D">
            <w:pPr>
              <w:pStyle w:val="ListNumber"/>
              <w:numPr>
                <w:ilvl w:val="0"/>
                <w:numId w:val="0"/>
              </w:numPr>
              <w:jc w:val="center"/>
              <w:rPr>
                <w:sz w:val="20"/>
                <w:szCs w:val="20"/>
              </w:rPr>
            </w:pPr>
            <w:sdt>
              <w:sdtPr>
                <w:rPr>
                  <w:sz w:val="20"/>
                  <w:szCs w:val="20"/>
                </w:rPr>
                <w:id w:val="374285429"/>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1790" w:type="dxa"/>
          </w:tcPr>
          <w:p w14:paraId="2296007B" w14:textId="369A859A" w:rsidR="00381868" w:rsidRPr="00543FB5" w:rsidRDefault="00260D55" w:rsidP="006B475D">
            <w:pPr>
              <w:pStyle w:val="ListNumber"/>
              <w:numPr>
                <w:ilvl w:val="0"/>
                <w:numId w:val="0"/>
              </w:numPr>
              <w:jc w:val="center"/>
              <w:rPr>
                <w:sz w:val="20"/>
                <w:szCs w:val="20"/>
              </w:rPr>
            </w:pPr>
            <w:sdt>
              <w:sdtPr>
                <w:rPr>
                  <w:sz w:val="20"/>
                  <w:szCs w:val="20"/>
                </w:rPr>
                <w:id w:val="-299308575"/>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67B6276D" w14:textId="77777777" w:rsidTr="006B475D">
        <w:tc>
          <w:tcPr>
            <w:tcW w:w="2281" w:type="dxa"/>
          </w:tcPr>
          <w:p w14:paraId="7A1791DB" w14:textId="77777777" w:rsidR="00381868" w:rsidRPr="00543FB5" w:rsidRDefault="00381868" w:rsidP="006B475D">
            <w:pPr>
              <w:pStyle w:val="ListNumber"/>
              <w:numPr>
                <w:ilvl w:val="0"/>
                <w:numId w:val="0"/>
              </w:numPr>
              <w:rPr>
                <w:sz w:val="20"/>
                <w:szCs w:val="20"/>
              </w:rPr>
            </w:pPr>
            <w:r w:rsidRPr="00543FB5">
              <w:rPr>
                <w:sz w:val="20"/>
                <w:szCs w:val="20"/>
              </w:rPr>
              <w:t xml:space="preserve">Discrimination </w:t>
            </w:r>
          </w:p>
        </w:tc>
        <w:tc>
          <w:tcPr>
            <w:tcW w:w="1660" w:type="dxa"/>
          </w:tcPr>
          <w:p w14:paraId="75438128" w14:textId="20544A25" w:rsidR="00381868" w:rsidRPr="00543FB5" w:rsidRDefault="00260D55" w:rsidP="006B475D">
            <w:pPr>
              <w:pStyle w:val="ListNumber"/>
              <w:numPr>
                <w:ilvl w:val="0"/>
                <w:numId w:val="0"/>
              </w:numPr>
              <w:jc w:val="center"/>
              <w:rPr>
                <w:sz w:val="20"/>
                <w:szCs w:val="20"/>
              </w:rPr>
            </w:pPr>
            <w:sdt>
              <w:sdtPr>
                <w:rPr>
                  <w:sz w:val="20"/>
                  <w:szCs w:val="20"/>
                </w:rPr>
                <w:id w:val="-1068652054"/>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1790" w:type="dxa"/>
          </w:tcPr>
          <w:p w14:paraId="39BECC73" w14:textId="491F46C6" w:rsidR="00381868" w:rsidRPr="00543FB5" w:rsidRDefault="00260D55" w:rsidP="006B475D">
            <w:pPr>
              <w:pStyle w:val="ListNumber"/>
              <w:numPr>
                <w:ilvl w:val="0"/>
                <w:numId w:val="0"/>
              </w:numPr>
              <w:jc w:val="center"/>
              <w:rPr>
                <w:sz w:val="20"/>
                <w:szCs w:val="20"/>
              </w:rPr>
            </w:pPr>
            <w:sdt>
              <w:sdtPr>
                <w:rPr>
                  <w:sz w:val="20"/>
                  <w:szCs w:val="20"/>
                </w:rPr>
                <w:id w:val="-950314885"/>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6756F881" w14:textId="77777777" w:rsidTr="006B475D">
        <w:tc>
          <w:tcPr>
            <w:tcW w:w="2281" w:type="dxa"/>
          </w:tcPr>
          <w:p w14:paraId="52135DA8" w14:textId="77777777" w:rsidR="00381868" w:rsidRPr="00543FB5" w:rsidRDefault="00381868" w:rsidP="006B475D">
            <w:pPr>
              <w:pStyle w:val="ListNumber"/>
              <w:numPr>
                <w:ilvl w:val="0"/>
                <w:numId w:val="0"/>
              </w:numPr>
              <w:rPr>
                <w:sz w:val="20"/>
                <w:szCs w:val="20"/>
              </w:rPr>
            </w:pPr>
            <w:r w:rsidRPr="00543FB5">
              <w:rPr>
                <w:sz w:val="20"/>
                <w:szCs w:val="20"/>
              </w:rPr>
              <w:t>Sexual harassment</w:t>
            </w:r>
          </w:p>
        </w:tc>
        <w:tc>
          <w:tcPr>
            <w:tcW w:w="1660" w:type="dxa"/>
          </w:tcPr>
          <w:p w14:paraId="4BFCE6CC" w14:textId="77777777" w:rsidR="00381868" w:rsidRPr="00543FB5" w:rsidRDefault="00381868" w:rsidP="006B475D">
            <w:pPr>
              <w:pStyle w:val="ListNumber"/>
              <w:numPr>
                <w:ilvl w:val="0"/>
                <w:numId w:val="0"/>
              </w:numPr>
              <w:jc w:val="center"/>
              <w:rPr>
                <w:sz w:val="20"/>
                <w:szCs w:val="20"/>
              </w:rPr>
            </w:pPr>
            <w:r w:rsidRPr="00543FB5">
              <w:rPr>
                <w:rFonts w:ascii="Segoe UI Symbol" w:hAnsi="Segoe UI Symbol" w:cs="Segoe UI Symbol"/>
                <w:sz w:val="20"/>
                <w:szCs w:val="20"/>
              </w:rPr>
              <w:t>☐</w:t>
            </w:r>
          </w:p>
        </w:tc>
        <w:tc>
          <w:tcPr>
            <w:tcW w:w="1790" w:type="dxa"/>
          </w:tcPr>
          <w:p w14:paraId="402F081C" w14:textId="77777777" w:rsidR="00381868" w:rsidRPr="00543FB5" w:rsidRDefault="00381868" w:rsidP="006B475D">
            <w:pPr>
              <w:pStyle w:val="ListNumber"/>
              <w:numPr>
                <w:ilvl w:val="0"/>
                <w:numId w:val="0"/>
              </w:numPr>
              <w:jc w:val="center"/>
              <w:rPr>
                <w:sz w:val="20"/>
                <w:szCs w:val="20"/>
              </w:rPr>
            </w:pPr>
            <w:r w:rsidRPr="00543FB5">
              <w:rPr>
                <w:rFonts w:ascii="Segoe UI Symbol" w:hAnsi="Segoe UI Symbol" w:cs="Segoe UI Symbol"/>
                <w:sz w:val="20"/>
                <w:szCs w:val="20"/>
              </w:rPr>
              <w:t>☐</w:t>
            </w:r>
          </w:p>
        </w:tc>
      </w:tr>
    </w:tbl>
    <w:p w14:paraId="20FE2BAC" w14:textId="77777777" w:rsidR="00381868" w:rsidRPr="00543FB5" w:rsidRDefault="00381868" w:rsidP="00777043">
      <w:pPr>
        <w:spacing w:after="240"/>
        <w:ind w:left="360"/>
        <w:rPr>
          <w:color w:val="7F7F7F" w:themeColor="accent6"/>
          <w:szCs w:val="20"/>
        </w:rPr>
      </w:pPr>
      <w:r w:rsidRPr="00543FB5">
        <w:rPr>
          <w:color w:val="7F7F7F" w:themeColor="accent6"/>
          <w:szCs w:val="20"/>
        </w:rPr>
        <w:t xml:space="preserve">[Move to question 20 if ‘my agency has not offered training, information sessions, or other forms of education on this topic’ is selected for each topic] </w:t>
      </w:r>
    </w:p>
    <w:p w14:paraId="51DE23D3" w14:textId="77777777" w:rsidR="00381868" w:rsidRPr="00543FB5" w:rsidRDefault="00381868" w:rsidP="00381868">
      <w:pPr>
        <w:pStyle w:val="ListNumber"/>
        <w:rPr>
          <w:sz w:val="20"/>
          <w:szCs w:val="20"/>
        </w:rPr>
      </w:pPr>
      <w:r w:rsidRPr="00543FB5">
        <w:rPr>
          <w:sz w:val="20"/>
          <w:szCs w:val="20"/>
        </w:rPr>
        <w:t>Could any of these educational activities be provided to the APSC, in order to provide them to other APS agencies? If so, please provide details.</w:t>
      </w:r>
    </w:p>
    <w:p w14:paraId="52113449" w14:textId="72C3D20E" w:rsidR="00381868" w:rsidRPr="00543FB5" w:rsidRDefault="00381868" w:rsidP="00381868">
      <w:pPr>
        <w:rPr>
          <w:i/>
          <w:szCs w:val="20"/>
        </w:rPr>
      </w:pPr>
      <w:r w:rsidRPr="00543FB5">
        <w:rPr>
          <w:i/>
          <w:szCs w:val="20"/>
        </w:rPr>
        <w:lastRenderedPageBreak/>
        <w:t>__________________________________________________________________________________________________________________________________________________________________</w:t>
      </w:r>
    </w:p>
    <w:p w14:paraId="5D5E4910" w14:textId="77777777" w:rsidR="00381868" w:rsidRPr="00543FB5" w:rsidRDefault="00381868" w:rsidP="00381868">
      <w:pPr>
        <w:rPr>
          <w:i/>
          <w:szCs w:val="20"/>
        </w:rPr>
      </w:pPr>
    </w:p>
    <w:p w14:paraId="790FBE2A" w14:textId="77777777" w:rsidR="00381868" w:rsidRPr="00543FB5" w:rsidRDefault="00381868" w:rsidP="00381868">
      <w:pPr>
        <w:pStyle w:val="ListNumber"/>
        <w:rPr>
          <w:sz w:val="20"/>
          <w:szCs w:val="20"/>
        </w:rPr>
      </w:pPr>
      <w:r w:rsidRPr="00543FB5">
        <w:rPr>
          <w:sz w:val="20"/>
          <w:szCs w:val="20"/>
        </w:rPr>
        <w:t>In the last 2 years, has your agency reviewed its policies, support or processes for the prevention, management, and/or reporting of any of the below (</w:t>
      </w:r>
      <w:r w:rsidRPr="00543FB5">
        <w:rPr>
          <w:i/>
          <w:sz w:val="20"/>
          <w:szCs w:val="20"/>
        </w:rPr>
        <w:t>Action area #2 minimum standards: Respectful workplaces and empowered people</w:t>
      </w:r>
      <w:r w:rsidRPr="00543FB5">
        <w:rPr>
          <w:sz w:val="20"/>
          <w:szCs w:val="20"/>
        </w:rPr>
        <w:t>):</w:t>
      </w:r>
    </w:p>
    <w:p w14:paraId="6BFF55CE" w14:textId="77777777" w:rsidR="00381868" w:rsidRPr="00543FB5" w:rsidRDefault="00381868" w:rsidP="00777043">
      <w:pPr>
        <w:ind w:firstLine="360"/>
        <w:rPr>
          <w:color w:val="7F7F7F" w:themeColor="accent6"/>
          <w:szCs w:val="20"/>
        </w:rPr>
      </w:pPr>
      <w:r w:rsidRPr="00543FB5">
        <w:rPr>
          <w:color w:val="7F7F7F" w:themeColor="accent6"/>
          <w:szCs w:val="20"/>
        </w:rPr>
        <w:t>[Please select all that apply]</w:t>
      </w:r>
    </w:p>
    <w:p w14:paraId="3D8BA61D" w14:textId="77777777" w:rsidR="00381868" w:rsidRDefault="00381868" w:rsidP="00F9645E">
      <w:pPr>
        <w:pStyle w:val="ListParagraph"/>
        <w:numPr>
          <w:ilvl w:val="0"/>
          <w:numId w:val="20"/>
        </w:numPr>
      </w:pPr>
      <w:r>
        <w:t>Family Domestic Violence</w:t>
      </w:r>
    </w:p>
    <w:p w14:paraId="31707E21" w14:textId="77777777" w:rsidR="00381868" w:rsidRDefault="00381868" w:rsidP="00F9645E">
      <w:pPr>
        <w:pStyle w:val="ListParagraph"/>
        <w:numPr>
          <w:ilvl w:val="0"/>
          <w:numId w:val="20"/>
        </w:numPr>
      </w:pPr>
      <w:r>
        <w:t xml:space="preserve">Bullying </w:t>
      </w:r>
    </w:p>
    <w:p w14:paraId="43A3786D" w14:textId="77777777" w:rsidR="00381868" w:rsidRDefault="00381868" w:rsidP="00F9645E">
      <w:pPr>
        <w:pStyle w:val="ListParagraph"/>
        <w:numPr>
          <w:ilvl w:val="0"/>
          <w:numId w:val="20"/>
        </w:numPr>
      </w:pPr>
      <w:r>
        <w:t xml:space="preserve">Discrimination </w:t>
      </w:r>
    </w:p>
    <w:p w14:paraId="714FCF87" w14:textId="77777777" w:rsidR="00381868" w:rsidRDefault="00381868" w:rsidP="00F9645E">
      <w:pPr>
        <w:pStyle w:val="ListParagraph"/>
        <w:numPr>
          <w:ilvl w:val="0"/>
          <w:numId w:val="20"/>
        </w:numPr>
      </w:pPr>
      <w:r>
        <w:t>Sexual harassment</w:t>
      </w:r>
    </w:p>
    <w:p w14:paraId="1DD95765" w14:textId="77777777" w:rsidR="00381868" w:rsidRPr="00BE556C" w:rsidRDefault="00381868" w:rsidP="00F9645E">
      <w:pPr>
        <w:pStyle w:val="ListParagraph"/>
        <w:numPr>
          <w:ilvl w:val="0"/>
          <w:numId w:val="28"/>
        </w:numPr>
      </w:pPr>
      <w:r>
        <w:t>None of the above [Please move to question 22]</w:t>
      </w:r>
    </w:p>
    <w:p w14:paraId="35FA8027" w14:textId="77777777" w:rsidR="00381868" w:rsidRPr="00543FB5" w:rsidRDefault="00381868" w:rsidP="00381868">
      <w:pPr>
        <w:pStyle w:val="ListNumber"/>
        <w:rPr>
          <w:sz w:val="20"/>
          <w:szCs w:val="20"/>
        </w:rPr>
      </w:pPr>
      <w:r w:rsidRPr="00543FB5">
        <w:rPr>
          <w:sz w:val="20"/>
          <w:szCs w:val="20"/>
        </w:rPr>
        <w:t>Has your agency had any beneficial lessons learned from reviewing its policies, support or processes for the prevention, management and/or reporting of unacceptable behaviours that could be shared with other agencies?</w:t>
      </w:r>
    </w:p>
    <w:p w14:paraId="6613366D" w14:textId="48A872D2"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0A1BE0C6" w14:textId="77777777" w:rsidR="00381868" w:rsidRPr="00543FB5" w:rsidRDefault="00381868" w:rsidP="00381868">
      <w:pPr>
        <w:pStyle w:val="ListNumber"/>
        <w:numPr>
          <w:ilvl w:val="0"/>
          <w:numId w:val="0"/>
        </w:numPr>
        <w:ind w:left="360" w:hanging="360"/>
        <w:rPr>
          <w:sz w:val="20"/>
          <w:szCs w:val="20"/>
        </w:rPr>
      </w:pPr>
    </w:p>
    <w:p w14:paraId="6A8AB1FE" w14:textId="77777777" w:rsidR="00381868" w:rsidRPr="00543FB5" w:rsidRDefault="00381868" w:rsidP="00381868">
      <w:pPr>
        <w:pStyle w:val="ListNumber"/>
        <w:rPr>
          <w:sz w:val="20"/>
          <w:szCs w:val="20"/>
        </w:rPr>
      </w:pPr>
      <w:r w:rsidRPr="00543FB5">
        <w:rPr>
          <w:sz w:val="20"/>
          <w:szCs w:val="20"/>
        </w:rPr>
        <w:t>In the last 2 years, in what ways has your agency strengthened approaches to preventing and/or responding to bullying, sexual harassment, and/or sexual assault in the workplace, if they have done so (</w:t>
      </w:r>
      <w:r w:rsidRPr="00543FB5">
        <w:rPr>
          <w:i/>
          <w:sz w:val="20"/>
          <w:szCs w:val="20"/>
        </w:rPr>
        <w:t>Action area 2A</w:t>
      </w:r>
      <w:r w:rsidRPr="00543FB5">
        <w:rPr>
          <w:sz w:val="20"/>
          <w:szCs w:val="20"/>
        </w:rPr>
        <w:t>)?</w:t>
      </w:r>
    </w:p>
    <w:p w14:paraId="65DB419A" w14:textId="46663670"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2770931A" w14:textId="77777777" w:rsidR="00381868" w:rsidRPr="00543FB5" w:rsidRDefault="00381868" w:rsidP="00381868">
      <w:pPr>
        <w:pStyle w:val="ListNumber"/>
        <w:numPr>
          <w:ilvl w:val="0"/>
          <w:numId w:val="0"/>
        </w:numPr>
        <w:ind w:left="360" w:hanging="360"/>
        <w:rPr>
          <w:sz w:val="20"/>
          <w:szCs w:val="20"/>
        </w:rPr>
      </w:pPr>
    </w:p>
    <w:p w14:paraId="24C82457" w14:textId="77777777" w:rsidR="00381868" w:rsidRPr="00543FB5" w:rsidRDefault="00381868" w:rsidP="00381868">
      <w:pPr>
        <w:pStyle w:val="ListNumber"/>
        <w:rPr>
          <w:sz w:val="20"/>
          <w:szCs w:val="20"/>
        </w:rPr>
      </w:pPr>
      <w:r w:rsidRPr="00543FB5">
        <w:rPr>
          <w:sz w:val="20"/>
          <w:szCs w:val="20"/>
        </w:rPr>
        <w:t>Were there any lessons learnt from strengthening the approaches to preventing and/or responding to bullying, sexual harassment, and sexual assault in the workplace that would be beneficial to share with other agencies?</w:t>
      </w:r>
    </w:p>
    <w:p w14:paraId="2D26D38E" w14:textId="13E4584B"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1069DDC2" w14:textId="77777777" w:rsidR="00381868" w:rsidRPr="00777043" w:rsidRDefault="00381868" w:rsidP="001926E2">
      <w:pPr>
        <w:rPr>
          <w:b/>
        </w:rPr>
      </w:pPr>
      <w:bookmarkStart w:id="1909" w:name="_Toc157595819"/>
      <w:bookmarkStart w:id="1910" w:name="_Toc165985823"/>
      <w:bookmarkStart w:id="1911" w:name="_Toc165991701"/>
      <w:bookmarkStart w:id="1912" w:name="_Toc166082999"/>
      <w:bookmarkStart w:id="1913" w:name="_Toc166160363"/>
      <w:bookmarkStart w:id="1914" w:name="_Toc166168062"/>
      <w:bookmarkStart w:id="1915" w:name="_Toc168329228"/>
      <w:bookmarkStart w:id="1916" w:name="_Toc168322884"/>
      <w:bookmarkStart w:id="1917" w:name="_Toc168388001"/>
      <w:bookmarkStart w:id="1918" w:name="_Toc168405656"/>
      <w:bookmarkStart w:id="1919" w:name="_Toc168408694"/>
      <w:bookmarkStart w:id="1920" w:name="_Toc168411096"/>
      <w:bookmarkStart w:id="1921" w:name="_Toc168405955"/>
      <w:bookmarkStart w:id="1922" w:name="_Toc168473763"/>
      <w:bookmarkStart w:id="1923" w:name="_Toc168471661"/>
      <w:bookmarkStart w:id="1924" w:name="_Toc168484721"/>
      <w:bookmarkStart w:id="1925" w:name="_Toc168495189"/>
      <w:bookmarkStart w:id="1926" w:name="_Toc168495638"/>
      <w:bookmarkStart w:id="1927" w:name="_Toc169103304"/>
      <w:bookmarkStart w:id="1928" w:name="_Toc169104778"/>
      <w:bookmarkStart w:id="1929" w:name="_Toc169278494"/>
      <w:r w:rsidRPr="00777043">
        <w:rPr>
          <w:b/>
        </w:rPr>
        <w:t>Superannuation information</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44ABE2D9" w14:textId="11C65C87" w:rsidR="00777043" w:rsidRPr="00543FB5" w:rsidRDefault="00381868" w:rsidP="00777043">
      <w:pPr>
        <w:spacing w:after="240"/>
        <w:rPr>
          <w:szCs w:val="20"/>
        </w:rPr>
      </w:pPr>
      <w:r w:rsidRPr="00543FB5">
        <w:rPr>
          <w:szCs w:val="20"/>
        </w:rPr>
        <w:t xml:space="preserve">Action area 2C of the </w:t>
      </w:r>
      <w:hyperlink r:id="rId89" w:history="1">
        <w:r w:rsidRPr="00543FB5">
          <w:rPr>
            <w:rStyle w:val="Hyperlink"/>
            <w:szCs w:val="20"/>
          </w:rPr>
          <w:t>Australian Public Service Gender Equality Strategy 2021-26</w:t>
        </w:r>
      </w:hyperlink>
      <w:r w:rsidRPr="00543FB5">
        <w:rPr>
          <w:szCs w:val="20"/>
        </w:rPr>
        <w:t xml:space="preserve"> asked agencies to “provide ongoing access to superannuation resources and awareness sessions to all employees with a particular focus on annual entry level and graduate intakes (e.g. agency induction). This is to empower employees early on in their career to understand their superannuation and impacts of career and life events (e.g. consideration of career moves, taking parental leave including leave without pay, changing agencies or retiring). This will not include individual financial advice.” </w:t>
      </w:r>
    </w:p>
    <w:p w14:paraId="1B003706" w14:textId="77777777" w:rsidR="00381868" w:rsidRPr="00543FB5" w:rsidRDefault="00381868" w:rsidP="00381868">
      <w:pPr>
        <w:pStyle w:val="ListNumber"/>
        <w:rPr>
          <w:sz w:val="20"/>
          <w:szCs w:val="20"/>
        </w:rPr>
      </w:pPr>
      <w:r w:rsidRPr="00543FB5">
        <w:rPr>
          <w:sz w:val="20"/>
          <w:szCs w:val="20"/>
        </w:rPr>
        <w:t>In the last 2 years, has your agency provided employee superannuation awareness or educational sessions (</w:t>
      </w:r>
      <w:r w:rsidRPr="00543FB5">
        <w:rPr>
          <w:i/>
          <w:sz w:val="20"/>
          <w:szCs w:val="20"/>
        </w:rPr>
        <w:t>Action area 2C</w:t>
      </w:r>
      <w:r w:rsidRPr="00543FB5">
        <w:rPr>
          <w:sz w:val="20"/>
          <w:szCs w:val="20"/>
        </w:rPr>
        <w:t>)?</w:t>
      </w:r>
    </w:p>
    <w:p w14:paraId="724B915B" w14:textId="77777777" w:rsidR="00381868" w:rsidRDefault="00381868" w:rsidP="00F9645E">
      <w:pPr>
        <w:pStyle w:val="ListParagraph"/>
        <w:numPr>
          <w:ilvl w:val="0"/>
          <w:numId w:val="21"/>
        </w:numPr>
      </w:pPr>
      <w:r>
        <w:t>Yes</w:t>
      </w:r>
    </w:p>
    <w:p w14:paraId="58144864" w14:textId="77777777" w:rsidR="00381868" w:rsidRDefault="00381868" w:rsidP="00F9645E">
      <w:pPr>
        <w:pStyle w:val="ListParagraph"/>
        <w:numPr>
          <w:ilvl w:val="0"/>
          <w:numId w:val="21"/>
        </w:numPr>
      </w:pPr>
      <w:r>
        <w:t>No</w:t>
      </w:r>
    </w:p>
    <w:p w14:paraId="1D2A19BE" w14:textId="3040409B" w:rsidR="00381868" w:rsidRPr="00543FB5" w:rsidRDefault="00381868" w:rsidP="00381868">
      <w:pPr>
        <w:pStyle w:val="ListNumber"/>
        <w:rPr>
          <w:sz w:val="20"/>
          <w:szCs w:val="20"/>
        </w:rPr>
      </w:pPr>
      <w:r w:rsidRPr="00543FB5">
        <w:rPr>
          <w:sz w:val="20"/>
          <w:szCs w:val="20"/>
        </w:rPr>
        <w:t>Does your agency offer superannuation information or resources to new recruits as part of their induction, in addition to the standard superannuation application forms (</w:t>
      </w:r>
      <w:r w:rsidRPr="00543FB5">
        <w:rPr>
          <w:i/>
          <w:sz w:val="20"/>
          <w:szCs w:val="20"/>
        </w:rPr>
        <w:t>Action area 2B</w:t>
      </w:r>
      <w:r w:rsidRPr="00543FB5">
        <w:rPr>
          <w:sz w:val="20"/>
          <w:szCs w:val="20"/>
        </w:rPr>
        <w:t>)?</w:t>
      </w:r>
      <w:r w:rsidR="00A22C96" w:rsidRPr="00543FB5">
        <w:rPr>
          <w:sz w:val="20"/>
          <w:szCs w:val="20"/>
        </w:rPr>
        <w:t xml:space="preserve"> </w:t>
      </w:r>
    </w:p>
    <w:p w14:paraId="732A59B3" w14:textId="77777777" w:rsidR="00381868" w:rsidRDefault="00381868" w:rsidP="00F9645E">
      <w:pPr>
        <w:pStyle w:val="ListParagraph"/>
        <w:numPr>
          <w:ilvl w:val="0"/>
          <w:numId w:val="22"/>
        </w:numPr>
      </w:pPr>
      <w:r>
        <w:t>Yes</w:t>
      </w:r>
    </w:p>
    <w:p w14:paraId="3AC01366" w14:textId="77777777" w:rsidR="00381868" w:rsidRDefault="00381868" w:rsidP="00F9645E">
      <w:pPr>
        <w:pStyle w:val="ListParagraph"/>
        <w:numPr>
          <w:ilvl w:val="0"/>
          <w:numId w:val="22"/>
        </w:numPr>
      </w:pPr>
      <w:r>
        <w:t>No</w:t>
      </w:r>
    </w:p>
    <w:p w14:paraId="3EF89477" w14:textId="77777777" w:rsidR="00381868" w:rsidRPr="00777043" w:rsidRDefault="00381868" w:rsidP="001926E2">
      <w:pPr>
        <w:rPr>
          <w:b/>
        </w:rPr>
      </w:pPr>
      <w:bookmarkStart w:id="1930" w:name="_Toc157595820"/>
      <w:bookmarkStart w:id="1931" w:name="_Toc165985824"/>
      <w:bookmarkStart w:id="1932" w:name="_Toc165991702"/>
      <w:bookmarkStart w:id="1933" w:name="_Toc166083000"/>
      <w:bookmarkStart w:id="1934" w:name="_Toc166160364"/>
      <w:bookmarkStart w:id="1935" w:name="_Toc166168063"/>
      <w:bookmarkStart w:id="1936" w:name="_Toc168329229"/>
      <w:bookmarkStart w:id="1937" w:name="_Toc168322885"/>
      <w:bookmarkStart w:id="1938" w:name="_Toc168388002"/>
      <w:bookmarkStart w:id="1939" w:name="_Toc168405657"/>
      <w:bookmarkStart w:id="1940" w:name="_Toc168408695"/>
      <w:bookmarkStart w:id="1941" w:name="_Toc168411097"/>
      <w:bookmarkStart w:id="1942" w:name="_Toc168405956"/>
      <w:bookmarkStart w:id="1943" w:name="_Toc168473764"/>
      <w:bookmarkStart w:id="1944" w:name="_Toc168471662"/>
      <w:bookmarkStart w:id="1945" w:name="_Toc168484722"/>
      <w:bookmarkStart w:id="1946" w:name="_Toc168495190"/>
      <w:bookmarkStart w:id="1947" w:name="_Toc168495639"/>
      <w:bookmarkStart w:id="1948" w:name="_Toc169103305"/>
      <w:bookmarkStart w:id="1949" w:name="_Toc169104779"/>
      <w:bookmarkStart w:id="1950" w:name="_Toc169278495"/>
      <w:r w:rsidRPr="00777043">
        <w:rPr>
          <w:b/>
        </w:rPr>
        <w:lastRenderedPageBreak/>
        <w:t>Selection panels</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14:paraId="61646E46" w14:textId="324E8FD8" w:rsidR="00381868" w:rsidRPr="00543FB5" w:rsidRDefault="00381868" w:rsidP="00777043">
      <w:pPr>
        <w:spacing w:after="240"/>
        <w:rPr>
          <w:szCs w:val="20"/>
        </w:rPr>
      </w:pPr>
      <w:r w:rsidRPr="00543FB5">
        <w:rPr>
          <w:i/>
          <w:szCs w:val="20"/>
        </w:rPr>
        <w:t>Action Area #3</w:t>
      </w:r>
      <w:r w:rsidRPr="00543FB5">
        <w:rPr>
          <w:szCs w:val="20"/>
        </w:rPr>
        <w:t xml:space="preserve"> of the </w:t>
      </w:r>
      <w:hyperlink r:id="rId90" w:history="1">
        <w:r w:rsidRPr="00543FB5">
          <w:rPr>
            <w:rStyle w:val="Hyperlink"/>
            <w:szCs w:val="20"/>
          </w:rPr>
          <w:t>Australian Public Service Gender Equality Strategy 2021-26</w:t>
        </w:r>
      </w:hyperlink>
      <w:r w:rsidRPr="00543FB5">
        <w:rPr>
          <w:szCs w:val="20"/>
        </w:rPr>
        <w:t xml:space="preserve"> asked agencies to: “</w:t>
      </w:r>
      <w:r w:rsidRPr="00543FB5">
        <w:rPr>
          <w:i/>
          <w:szCs w:val="20"/>
        </w:rPr>
        <w:t>Ensure gender diversity in selection processes, including internal processes and EOIs. Selection panels are gender-balanced and are equipped to call-out any potential bias during the process</w:t>
      </w:r>
      <w:r w:rsidRPr="00543FB5">
        <w:rPr>
          <w:szCs w:val="20"/>
        </w:rPr>
        <w:t>.”</w:t>
      </w:r>
    </w:p>
    <w:p w14:paraId="64E7537C" w14:textId="77777777" w:rsidR="00381868" w:rsidRPr="00543FB5" w:rsidRDefault="00381868" w:rsidP="00381868">
      <w:pPr>
        <w:pStyle w:val="ListNumber"/>
        <w:rPr>
          <w:sz w:val="20"/>
          <w:szCs w:val="20"/>
        </w:rPr>
      </w:pPr>
      <w:r w:rsidRPr="00543FB5">
        <w:rPr>
          <w:sz w:val="20"/>
          <w:szCs w:val="20"/>
        </w:rPr>
        <w:t>In what ways, if any, does your agency ensure gender balance on selection panels (</w:t>
      </w:r>
      <w:r w:rsidRPr="00543FB5">
        <w:rPr>
          <w:i/>
          <w:sz w:val="20"/>
          <w:szCs w:val="20"/>
        </w:rPr>
        <w:t>Action area #3 minimum standards: Shifting gender stereotypes</w:t>
      </w:r>
      <w:r w:rsidRPr="00543FB5">
        <w:rPr>
          <w:sz w:val="20"/>
          <w:szCs w:val="20"/>
        </w:rPr>
        <w:t>)?</w:t>
      </w:r>
    </w:p>
    <w:p w14:paraId="197AB702" w14:textId="77777777" w:rsidR="00381868" w:rsidRPr="00543FB5" w:rsidRDefault="00381868" w:rsidP="00381868">
      <w:pPr>
        <w:pStyle w:val="ListNumber"/>
        <w:numPr>
          <w:ilvl w:val="0"/>
          <w:numId w:val="0"/>
        </w:numPr>
        <w:rPr>
          <w:sz w:val="20"/>
          <w:szCs w:val="20"/>
        </w:rPr>
      </w:pPr>
    </w:p>
    <w:p w14:paraId="13CB7DFA" w14:textId="5C2CCCDB"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00ACA6C8" w14:textId="77777777" w:rsidR="00381868" w:rsidRPr="00543FB5" w:rsidRDefault="00381868" w:rsidP="00381868">
      <w:pPr>
        <w:pStyle w:val="ListNumber"/>
        <w:numPr>
          <w:ilvl w:val="0"/>
          <w:numId w:val="0"/>
        </w:numPr>
        <w:ind w:left="360"/>
        <w:rPr>
          <w:sz w:val="20"/>
          <w:szCs w:val="20"/>
        </w:rPr>
      </w:pPr>
    </w:p>
    <w:p w14:paraId="7A86FAA7" w14:textId="77777777" w:rsidR="00381868" w:rsidRPr="00543FB5" w:rsidRDefault="00381868" w:rsidP="00381868">
      <w:pPr>
        <w:pStyle w:val="ListNumber"/>
        <w:numPr>
          <w:ilvl w:val="0"/>
          <w:numId w:val="0"/>
        </w:numPr>
        <w:ind w:left="360"/>
        <w:rPr>
          <w:sz w:val="20"/>
          <w:szCs w:val="20"/>
        </w:rPr>
      </w:pPr>
    </w:p>
    <w:p w14:paraId="274ADB1F" w14:textId="77777777" w:rsidR="00381868" w:rsidRPr="00543FB5" w:rsidRDefault="00381868" w:rsidP="00381868">
      <w:pPr>
        <w:pStyle w:val="ListNumber"/>
        <w:rPr>
          <w:sz w:val="20"/>
          <w:szCs w:val="20"/>
        </w:rPr>
      </w:pPr>
      <w:r w:rsidRPr="00543FB5">
        <w:rPr>
          <w:sz w:val="20"/>
          <w:szCs w:val="20"/>
        </w:rPr>
        <w:t>In what ways, if any, are selection panels in your agency equipped to call-out any potential bias during selection processes (</w:t>
      </w:r>
      <w:r w:rsidRPr="00543FB5">
        <w:rPr>
          <w:i/>
          <w:sz w:val="20"/>
          <w:szCs w:val="20"/>
        </w:rPr>
        <w:t>Action area #3 minimum standards: Shifting gender stereotypes</w:t>
      </w:r>
      <w:r w:rsidRPr="00543FB5">
        <w:rPr>
          <w:sz w:val="20"/>
          <w:szCs w:val="20"/>
        </w:rPr>
        <w:t>)?</w:t>
      </w:r>
    </w:p>
    <w:p w14:paraId="7DC4FC6A" w14:textId="061ACD24"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6F72333D" w14:textId="77777777" w:rsidR="00381868" w:rsidRPr="00777043" w:rsidRDefault="00381868" w:rsidP="001926E2">
      <w:pPr>
        <w:rPr>
          <w:b/>
        </w:rPr>
      </w:pPr>
      <w:bookmarkStart w:id="1951" w:name="_Toc157595821"/>
      <w:bookmarkStart w:id="1952" w:name="_Toc165985825"/>
      <w:bookmarkStart w:id="1953" w:name="_Toc165991703"/>
      <w:bookmarkStart w:id="1954" w:name="_Toc166083001"/>
      <w:bookmarkStart w:id="1955" w:name="_Toc166160365"/>
      <w:bookmarkStart w:id="1956" w:name="_Toc166168064"/>
      <w:bookmarkStart w:id="1957" w:name="_Toc168329230"/>
      <w:bookmarkStart w:id="1958" w:name="_Toc168322886"/>
      <w:bookmarkStart w:id="1959" w:name="_Toc168388003"/>
      <w:bookmarkStart w:id="1960" w:name="_Toc168405658"/>
      <w:bookmarkStart w:id="1961" w:name="_Toc168408696"/>
      <w:bookmarkStart w:id="1962" w:name="_Toc168411098"/>
      <w:bookmarkStart w:id="1963" w:name="_Toc168405957"/>
      <w:bookmarkStart w:id="1964" w:name="_Toc168473765"/>
      <w:bookmarkStart w:id="1965" w:name="_Toc168471663"/>
      <w:bookmarkStart w:id="1966" w:name="_Toc168484723"/>
      <w:bookmarkStart w:id="1967" w:name="_Toc168495191"/>
      <w:bookmarkStart w:id="1968" w:name="_Toc168495640"/>
      <w:bookmarkStart w:id="1969" w:name="_Toc169103306"/>
      <w:bookmarkStart w:id="1970" w:name="_Toc169104780"/>
      <w:bookmarkStart w:id="1971" w:name="_Toc169278496"/>
      <w:r w:rsidRPr="00777043">
        <w:rPr>
          <w:b/>
        </w:rPr>
        <w:t>Flexible work</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14:paraId="0B24A200" w14:textId="0AF10FF6" w:rsidR="00381868" w:rsidRPr="00543FB5" w:rsidRDefault="00381868" w:rsidP="00777043">
      <w:pPr>
        <w:spacing w:after="240"/>
        <w:rPr>
          <w:szCs w:val="20"/>
        </w:rPr>
      </w:pPr>
      <w:r w:rsidRPr="00543FB5">
        <w:rPr>
          <w:szCs w:val="20"/>
        </w:rPr>
        <w:t xml:space="preserve">The </w:t>
      </w:r>
      <w:hyperlink r:id="rId91" w:history="1">
        <w:r w:rsidRPr="00543FB5">
          <w:rPr>
            <w:rStyle w:val="Hyperlink"/>
            <w:szCs w:val="20"/>
          </w:rPr>
          <w:t>Australian Public Service Gender Equality Strategy 2021-26</w:t>
        </w:r>
      </w:hyperlink>
      <w:r w:rsidRPr="00543FB5">
        <w:rPr>
          <w:szCs w:val="20"/>
        </w:rPr>
        <w:t xml:space="preserve"> </w:t>
      </w:r>
      <w:r w:rsidRPr="00543FB5">
        <w:rPr>
          <w:i/>
          <w:szCs w:val="20"/>
        </w:rPr>
        <w:t>Action area #4</w:t>
      </w:r>
      <w:r w:rsidRPr="00543FB5">
        <w:rPr>
          <w:szCs w:val="20"/>
        </w:rPr>
        <w:t xml:space="preserve"> relates to flexible ways of working.</w:t>
      </w:r>
    </w:p>
    <w:p w14:paraId="176790C6" w14:textId="77777777" w:rsidR="00381868" w:rsidRPr="00543FB5" w:rsidRDefault="00381868" w:rsidP="00381868">
      <w:pPr>
        <w:pStyle w:val="ListNumber"/>
        <w:rPr>
          <w:sz w:val="20"/>
          <w:szCs w:val="20"/>
        </w:rPr>
      </w:pPr>
      <w:r w:rsidRPr="00543FB5">
        <w:rPr>
          <w:sz w:val="20"/>
          <w:szCs w:val="20"/>
        </w:rPr>
        <w:t>Does your agency advertise any positions as full-time, part-time, and job share (</w:t>
      </w:r>
      <w:r w:rsidRPr="00543FB5">
        <w:rPr>
          <w:i/>
          <w:sz w:val="20"/>
          <w:szCs w:val="20"/>
        </w:rPr>
        <w:t>Action area 4D</w:t>
      </w:r>
      <w:r w:rsidRPr="00543FB5">
        <w:rPr>
          <w:sz w:val="20"/>
          <w:szCs w:val="20"/>
        </w:rPr>
        <w:t>)?</w:t>
      </w:r>
    </w:p>
    <w:p w14:paraId="7B29CD4C" w14:textId="77777777" w:rsidR="00381868" w:rsidRPr="0019203A" w:rsidRDefault="00381868" w:rsidP="00F9645E">
      <w:pPr>
        <w:pStyle w:val="ListParagraph"/>
        <w:numPr>
          <w:ilvl w:val="0"/>
          <w:numId w:val="23"/>
        </w:numPr>
      </w:pPr>
      <w:r>
        <w:t xml:space="preserve">Yes - all positions are advertised as full-time, part-time and job share  </w:t>
      </w:r>
      <w:r>
        <w:rPr>
          <w:color w:val="7F7F7F" w:themeColor="accent6"/>
        </w:rPr>
        <w:t>[Go to question 31</w:t>
      </w:r>
      <w:r w:rsidRPr="00A838FF">
        <w:rPr>
          <w:color w:val="7F7F7F" w:themeColor="accent6"/>
        </w:rPr>
        <w:t>]</w:t>
      </w:r>
    </w:p>
    <w:p w14:paraId="0DB5E6DB" w14:textId="77777777" w:rsidR="00381868" w:rsidRPr="0019203A" w:rsidRDefault="00381868" w:rsidP="00F9645E">
      <w:pPr>
        <w:pStyle w:val="ListParagraph"/>
        <w:numPr>
          <w:ilvl w:val="0"/>
          <w:numId w:val="23"/>
        </w:numPr>
      </w:pPr>
      <w:r>
        <w:t xml:space="preserve">Yes - all positions are advertised as full-time and part-time (some or none include job share) </w:t>
      </w:r>
    </w:p>
    <w:p w14:paraId="166617FC" w14:textId="77777777" w:rsidR="00381868" w:rsidRPr="0019203A" w:rsidRDefault="00381868" w:rsidP="00F9645E">
      <w:pPr>
        <w:pStyle w:val="ListParagraph"/>
        <w:numPr>
          <w:ilvl w:val="0"/>
          <w:numId w:val="23"/>
        </w:numPr>
      </w:pPr>
      <w:r>
        <w:t>Yes - s</w:t>
      </w:r>
      <w:r w:rsidRPr="0019203A">
        <w:t>ome positions are advertised as full-time, part-time and job share</w:t>
      </w:r>
    </w:p>
    <w:p w14:paraId="65B2C967" w14:textId="77777777" w:rsidR="00381868" w:rsidRPr="0019203A" w:rsidRDefault="00381868" w:rsidP="00F9645E">
      <w:pPr>
        <w:pStyle w:val="ListParagraph"/>
        <w:numPr>
          <w:ilvl w:val="0"/>
          <w:numId w:val="23"/>
        </w:numPr>
      </w:pPr>
      <w:r>
        <w:t>Yes - s</w:t>
      </w:r>
      <w:r w:rsidRPr="0019203A">
        <w:t>ome positions are advertised as full-time and part-time</w:t>
      </w:r>
      <w:r>
        <w:t xml:space="preserve"> (none include job share)</w:t>
      </w:r>
    </w:p>
    <w:p w14:paraId="16E570BA" w14:textId="77777777" w:rsidR="00381868" w:rsidRDefault="00381868" w:rsidP="00F9645E">
      <w:pPr>
        <w:pStyle w:val="ListParagraph"/>
        <w:numPr>
          <w:ilvl w:val="0"/>
          <w:numId w:val="23"/>
        </w:numPr>
      </w:pPr>
      <w:r>
        <w:t>No - we only advertise full-time positions</w:t>
      </w:r>
    </w:p>
    <w:p w14:paraId="7B225028" w14:textId="77777777" w:rsidR="00381868" w:rsidRPr="00543FB5" w:rsidRDefault="00381868" w:rsidP="00381868">
      <w:pPr>
        <w:pStyle w:val="ListNumber"/>
        <w:numPr>
          <w:ilvl w:val="0"/>
          <w:numId w:val="0"/>
        </w:numPr>
        <w:ind w:left="360"/>
        <w:rPr>
          <w:sz w:val="20"/>
          <w:szCs w:val="20"/>
        </w:rPr>
      </w:pPr>
    </w:p>
    <w:p w14:paraId="6E69FE66" w14:textId="77777777" w:rsidR="00381868" w:rsidRPr="00543FB5" w:rsidRDefault="00381868" w:rsidP="00381868">
      <w:pPr>
        <w:pStyle w:val="ListNumber"/>
        <w:rPr>
          <w:sz w:val="20"/>
          <w:szCs w:val="20"/>
        </w:rPr>
      </w:pPr>
      <w:r w:rsidRPr="00543FB5">
        <w:rPr>
          <w:sz w:val="20"/>
          <w:szCs w:val="20"/>
        </w:rPr>
        <w:t xml:space="preserve">Has your agency considered advertising </w:t>
      </w:r>
      <w:r w:rsidRPr="00543FB5">
        <w:rPr>
          <w:sz w:val="20"/>
          <w:szCs w:val="20"/>
          <w:u w:val="single"/>
        </w:rPr>
        <w:t>all</w:t>
      </w:r>
      <w:r w:rsidRPr="00543FB5">
        <w:rPr>
          <w:sz w:val="20"/>
          <w:szCs w:val="20"/>
        </w:rPr>
        <w:t xml:space="preserve"> positions as full-time, part-time and job share (</w:t>
      </w:r>
      <w:r w:rsidRPr="00543FB5">
        <w:rPr>
          <w:i/>
          <w:sz w:val="20"/>
          <w:szCs w:val="20"/>
        </w:rPr>
        <w:t>Action area 4D</w:t>
      </w:r>
      <w:r w:rsidRPr="00543FB5">
        <w:rPr>
          <w:sz w:val="20"/>
          <w:szCs w:val="20"/>
        </w:rPr>
        <w:t>)?</w:t>
      </w:r>
    </w:p>
    <w:p w14:paraId="7351703C" w14:textId="77777777" w:rsidR="00381868" w:rsidRPr="00543FB5" w:rsidRDefault="00381868" w:rsidP="00F9645E">
      <w:pPr>
        <w:pStyle w:val="ListNumber"/>
        <w:numPr>
          <w:ilvl w:val="0"/>
          <w:numId w:val="30"/>
        </w:numPr>
        <w:rPr>
          <w:sz w:val="20"/>
          <w:szCs w:val="20"/>
        </w:rPr>
      </w:pPr>
      <w:r w:rsidRPr="00543FB5">
        <w:rPr>
          <w:sz w:val="20"/>
          <w:szCs w:val="20"/>
        </w:rPr>
        <w:t xml:space="preserve">Yes </w:t>
      </w:r>
      <w:r w:rsidRPr="00543FB5">
        <w:rPr>
          <w:color w:val="7F7F7F" w:themeColor="accent6"/>
          <w:sz w:val="20"/>
          <w:szCs w:val="20"/>
        </w:rPr>
        <w:t>[Go to question 31]</w:t>
      </w:r>
    </w:p>
    <w:p w14:paraId="164B9E44" w14:textId="77777777" w:rsidR="00381868" w:rsidRPr="00543FB5" w:rsidRDefault="00381868" w:rsidP="00F9645E">
      <w:pPr>
        <w:pStyle w:val="ListNumber"/>
        <w:numPr>
          <w:ilvl w:val="0"/>
          <w:numId w:val="30"/>
        </w:numPr>
        <w:rPr>
          <w:sz w:val="20"/>
          <w:szCs w:val="20"/>
        </w:rPr>
      </w:pPr>
      <w:r w:rsidRPr="00543FB5">
        <w:rPr>
          <w:sz w:val="20"/>
          <w:szCs w:val="20"/>
        </w:rPr>
        <w:t>No</w:t>
      </w:r>
    </w:p>
    <w:p w14:paraId="6E0362E7" w14:textId="77777777" w:rsidR="00381868" w:rsidRPr="00543FB5" w:rsidRDefault="00381868" w:rsidP="00381868">
      <w:pPr>
        <w:pStyle w:val="ListNumber"/>
        <w:numPr>
          <w:ilvl w:val="0"/>
          <w:numId w:val="0"/>
        </w:numPr>
        <w:ind w:left="360" w:hanging="360"/>
        <w:rPr>
          <w:sz w:val="20"/>
          <w:szCs w:val="20"/>
        </w:rPr>
      </w:pPr>
    </w:p>
    <w:p w14:paraId="12F62DB5" w14:textId="77777777" w:rsidR="00381868" w:rsidRPr="00543FB5" w:rsidRDefault="00381868" w:rsidP="00381868">
      <w:pPr>
        <w:pStyle w:val="ListNumber"/>
        <w:rPr>
          <w:sz w:val="20"/>
          <w:szCs w:val="20"/>
        </w:rPr>
      </w:pPr>
      <w:r w:rsidRPr="00543FB5">
        <w:rPr>
          <w:sz w:val="20"/>
          <w:szCs w:val="20"/>
        </w:rPr>
        <w:t xml:space="preserve">What are the reasons your agency has not considered advertising </w:t>
      </w:r>
      <w:r w:rsidRPr="00543FB5">
        <w:rPr>
          <w:sz w:val="20"/>
          <w:szCs w:val="20"/>
          <w:u w:val="single"/>
        </w:rPr>
        <w:t>all</w:t>
      </w:r>
      <w:r w:rsidRPr="00543FB5">
        <w:rPr>
          <w:sz w:val="20"/>
          <w:szCs w:val="20"/>
        </w:rPr>
        <w:t xml:space="preserve"> positions as full-time, part-time, and job share (</w:t>
      </w:r>
      <w:r w:rsidRPr="00543FB5">
        <w:rPr>
          <w:i/>
          <w:sz w:val="20"/>
          <w:szCs w:val="20"/>
        </w:rPr>
        <w:t>Action area 4D</w:t>
      </w:r>
      <w:r w:rsidRPr="00543FB5">
        <w:rPr>
          <w:sz w:val="20"/>
          <w:szCs w:val="20"/>
        </w:rPr>
        <w:t>)?</w:t>
      </w:r>
    </w:p>
    <w:p w14:paraId="094440EA" w14:textId="77777777" w:rsidR="00381868" w:rsidRPr="00543FB5" w:rsidRDefault="00381868" w:rsidP="00381868">
      <w:pPr>
        <w:pStyle w:val="ListNumber"/>
        <w:numPr>
          <w:ilvl w:val="0"/>
          <w:numId w:val="0"/>
        </w:numPr>
        <w:ind w:left="360"/>
        <w:rPr>
          <w:color w:val="7F7F7F" w:themeColor="accent6"/>
          <w:sz w:val="20"/>
          <w:szCs w:val="20"/>
        </w:rPr>
      </w:pPr>
      <w:r w:rsidRPr="00543FB5">
        <w:rPr>
          <w:color w:val="7F7F7F" w:themeColor="accent6"/>
          <w:sz w:val="20"/>
          <w:szCs w:val="20"/>
        </w:rPr>
        <w:t>[Please select all that apply]</w:t>
      </w:r>
    </w:p>
    <w:p w14:paraId="1A7B016A" w14:textId="77777777" w:rsidR="00381868" w:rsidRPr="00543FB5" w:rsidRDefault="00381868" w:rsidP="00381868">
      <w:pPr>
        <w:pStyle w:val="ListNumber"/>
        <w:numPr>
          <w:ilvl w:val="0"/>
          <w:numId w:val="0"/>
        </w:numPr>
        <w:ind w:left="360"/>
        <w:rPr>
          <w:sz w:val="20"/>
          <w:szCs w:val="20"/>
        </w:rPr>
      </w:pPr>
    </w:p>
    <w:p w14:paraId="7BF20005" w14:textId="77777777" w:rsidR="00381868" w:rsidRPr="00543FB5" w:rsidRDefault="00381868" w:rsidP="00F9645E">
      <w:pPr>
        <w:pStyle w:val="ListNumber"/>
        <w:numPr>
          <w:ilvl w:val="0"/>
          <w:numId w:val="24"/>
        </w:numPr>
        <w:rPr>
          <w:sz w:val="20"/>
          <w:szCs w:val="20"/>
        </w:rPr>
      </w:pPr>
      <w:r w:rsidRPr="00543FB5">
        <w:rPr>
          <w:sz w:val="20"/>
          <w:szCs w:val="20"/>
        </w:rPr>
        <w:t>Not all positions can be offered as part-time</w:t>
      </w:r>
    </w:p>
    <w:p w14:paraId="0DF7A8B8" w14:textId="77777777" w:rsidR="00381868" w:rsidRPr="00543FB5" w:rsidRDefault="00381868" w:rsidP="00F9645E">
      <w:pPr>
        <w:pStyle w:val="ListNumber"/>
        <w:numPr>
          <w:ilvl w:val="0"/>
          <w:numId w:val="24"/>
        </w:numPr>
        <w:rPr>
          <w:sz w:val="20"/>
          <w:szCs w:val="20"/>
        </w:rPr>
      </w:pPr>
      <w:r w:rsidRPr="00543FB5">
        <w:rPr>
          <w:sz w:val="20"/>
          <w:szCs w:val="20"/>
        </w:rPr>
        <w:t>Not all positions can be designed for job sharing</w:t>
      </w:r>
    </w:p>
    <w:p w14:paraId="711059B5" w14:textId="72D4267A" w:rsidR="00381868" w:rsidRPr="00543FB5" w:rsidRDefault="00381868" w:rsidP="00F9645E">
      <w:pPr>
        <w:pStyle w:val="ListNumber"/>
        <w:numPr>
          <w:ilvl w:val="0"/>
          <w:numId w:val="24"/>
        </w:numPr>
        <w:rPr>
          <w:sz w:val="20"/>
          <w:szCs w:val="20"/>
        </w:rPr>
      </w:pPr>
      <w:r w:rsidRPr="00543FB5">
        <w:rPr>
          <w:sz w:val="20"/>
          <w:szCs w:val="20"/>
        </w:rPr>
        <w:t xml:space="preserve">Other </w:t>
      </w:r>
      <w:r w:rsidRPr="00543FB5">
        <w:rPr>
          <w:color w:val="7F7F7F" w:themeColor="accent6"/>
          <w:sz w:val="20"/>
          <w:szCs w:val="20"/>
        </w:rPr>
        <w:t>[Please specify]</w:t>
      </w:r>
    </w:p>
    <w:p w14:paraId="287174CA" w14:textId="77777777" w:rsidR="00381868" w:rsidRPr="00543FB5" w:rsidRDefault="00381868" w:rsidP="00381868">
      <w:pPr>
        <w:pStyle w:val="ListNumber"/>
        <w:numPr>
          <w:ilvl w:val="0"/>
          <w:numId w:val="0"/>
        </w:numPr>
        <w:ind w:left="360"/>
        <w:rPr>
          <w:sz w:val="20"/>
          <w:szCs w:val="20"/>
        </w:rPr>
      </w:pPr>
    </w:p>
    <w:p w14:paraId="239A31C4" w14:textId="77777777" w:rsidR="00381868" w:rsidRPr="00543FB5" w:rsidRDefault="00381868" w:rsidP="00381868">
      <w:pPr>
        <w:pStyle w:val="ListNumber"/>
        <w:rPr>
          <w:sz w:val="20"/>
          <w:szCs w:val="20"/>
        </w:rPr>
      </w:pPr>
      <w:r w:rsidRPr="00543FB5">
        <w:rPr>
          <w:sz w:val="20"/>
          <w:szCs w:val="20"/>
        </w:rPr>
        <w:t>APS bargaining is working to increase the amount of parental leave available to secondary caregivers. Does your agency have any other initiatives or support in place to encourage secondary caregivers to take parental or carers leave, if any (</w:t>
      </w:r>
      <w:r w:rsidRPr="00543FB5">
        <w:rPr>
          <w:i/>
          <w:sz w:val="20"/>
          <w:szCs w:val="20"/>
        </w:rPr>
        <w:t>Action area #4 minimum standards: Flexible ways of working</w:t>
      </w:r>
      <w:r w:rsidRPr="00543FB5">
        <w:rPr>
          <w:sz w:val="20"/>
          <w:szCs w:val="20"/>
        </w:rPr>
        <w:t>)?</w:t>
      </w:r>
    </w:p>
    <w:p w14:paraId="6D73F182" w14:textId="77777777" w:rsidR="00381868" w:rsidRPr="00543FB5" w:rsidRDefault="00381868" w:rsidP="00381868">
      <w:pPr>
        <w:pStyle w:val="ListNumber"/>
        <w:numPr>
          <w:ilvl w:val="0"/>
          <w:numId w:val="0"/>
        </w:numPr>
        <w:ind w:left="360" w:hanging="360"/>
        <w:rPr>
          <w:sz w:val="20"/>
          <w:szCs w:val="20"/>
        </w:rPr>
      </w:pPr>
    </w:p>
    <w:p w14:paraId="1405091B" w14:textId="79FD3CB3"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203B1479" w14:textId="77777777" w:rsidR="00381868" w:rsidRPr="00543FB5" w:rsidRDefault="00381868" w:rsidP="00381868">
      <w:pPr>
        <w:pStyle w:val="ListNumber"/>
        <w:numPr>
          <w:ilvl w:val="0"/>
          <w:numId w:val="0"/>
        </w:numPr>
        <w:ind w:left="360" w:hanging="360"/>
        <w:rPr>
          <w:sz w:val="20"/>
          <w:szCs w:val="20"/>
        </w:rPr>
      </w:pPr>
    </w:p>
    <w:p w14:paraId="61352792" w14:textId="77777777" w:rsidR="00381868" w:rsidRPr="00777043" w:rsidRDefault="00381868" w:rsidP="001926E2">
      <w:pPr>
        <w:rPr>
          <w:b/>
        </w:rPr>
      </w:pPr>
      <w:bookmarkStart w:id="1972" w:name="_Toc157595822"/>
      <w:bookmarkStart w:id="1973" w:name="_Toc165985826"/>
      <w:bookmarkStart w:id="1974" w:name="_Toc165991704"/>
      <w:bookmarkStart w:id="1975" w:name="_Toc166083002"/>
      <w:bookmarkStart w:id="1976" w:name="_Toc166160366"/>
      <w:bookmarkStart w:id="1977" w:name="_Toc166168065"/>
      <w:bookmarkStart w:id="1978" w:name="_Toc168329231"/>
      <w:bookmarkStart w:id="1979" w:name="_Toc168322887"/>
      <w:bookmarkStart w:id="1980" w:name="_Toc168388004"/>
      <w:bookmarkStart w:id="1981" w:name="_Toc168405659"/>
      <w:bookmarkStart w:id="1982" w:name="_Toc168408697"/>
      <w:bookmarkStart w:id="1983" w:name="_Toc168411099"/>
      <w:bookmarkStart w:id="1984" w:name="_Toc168405958"/>
      <w:bookmarkStart w:id="1985" w:name="_Toc168473766"/>
      <w:bookmarkStart w:id="1986" w:name="_Toc168471664"/>
      <w:bookmarkStart w:id="1987" w:name="_Toc168484724"/>
      <w:bookmarkStart w:id="1988" w:name="_Toc168495192"/>
      <w:bookmarkStart w:id="1989" w:name="_Toc168495641"/>
      <w:bookmarkStart w:id="1990" w:name="_Toc169103307"/>
      <w:bookmarkStart w:id="1991" w:name="_Toc169104781"/>
      <w:bookmarkStart w:id="1992" w:name="_Toc169278497"/>
      <w:r w:rsidRPr="00777043">
        <w:rPr>
          <w:b/>
        </w:rPr>
        <w:lastRenderedPageBreak/>
        <w:t>Gender data</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14:paraId="4F3C04D3" w14:textId="5CFE1693" w:rsidR="00381868" w:rsidRPr="00543FB5" w:rsidRDefault="00381868" w:rsidP="00777043">
      <w:pPr>
        <w:spacing w:after="240"/>
        <w:rPr>
          <w:szCs w:val="20"/>
        </w:rPr>
      </w:pPr>
      <w:r w:rsidRPr="00543FB5">
        <w:rPr>
          <w:szCs w:val="20"/>
        </w:rPr>
        <w:t xml:space="preserve">The </w:t>
      </w:r>
      <w:hyperlink r:id="rId92" w:history="1">
        <w:r w:rsidRPr="00543FB5">
          <w:rPr>
            <w:rStyle w:val="Hyperlink"/>
            <w:szCs w:val="20"/>
          </w:rPr>
          <w:t>Australian Public Service Gender Equality Strategy 2021-26</w:t>
        </w:r>
      </w:hyperlink>
      <w:r w:rsidRPr="00543FB5">
        <w:rPr>
          <w:szCs w:val="20"/>
        </w:rPr>
        <w:t xml:space="preserve"> </w:t>
      </w:r>
      <w:r w:rsidRPr="00543FB5">
        <w:rPr>
          <w:i/>
          <w:szCs w:val="20"/>
        </w:rPr>
        <w:t>Action area #5</w:t>
      </w:r>
      <w:r w:rsidRPr="00543FB5">
        <w:rPr>
          <w:szCs w:val="20"/>
        </w:rPr>
        <w:t xml:space="preserve"> relates to gender data.</w:t>
      </w:r>
    </w:p>
    <w:p w14:paraId="4C91E500" w14:textId="77777777" w:rsidR="00381868" w:rsidRPr="00543FB5" w:rsidRDefault="00381868" w:rsidP="00381868">
      <w:pPr>
        <w:pStyle w:val="ListNumber"/>
        <w:rPr>
          <w:sz w:val="20"/>
          <w:szCs w:val="20"/>
        </w:rPr>
      </w:pPr>
      <w:r w:rsidRPr="00543FB5">
        <w:rPr>
          <w:sz w:val="20"/>
          <w:szCs w:val="20"/>
        </w:rPr>
        <w:t>Does your agency track gender data across (</w:t>
      </w:r>
      <w:r w:rsidRPr="00543FB5">
        <w:rPr>
          <w:i/>
          <w:sz w:val="20"/>
          <w:szCs w:val="20"/>
        </w:rPr>
        <w:t>Action area #5 minimum standards: Gender data</w:t>
      </w:r>
      <w:r w:rsidRPr="00543FB5">
        <w:rPr>
          <w:sz w:val="20"/>
          <w:szCs w:val="20"/>
        </w:rPr>
        <w:t>):</w:t>
      </w:r>
      <w:r w:rsidRPr="00543FB5">
        <w:rPr>
          <w:sz w:val="20"/>
          <w:szCs w:val="20"/>
        </w:rPr>
        <w:br/>
      </w:r>
      <w:r w:rsidRPr="00543FB5">
        <w:rPr>
          <w:color w:val="7F7F7F" w:themeColor="accent6"/>
          <w:sz w:val="20"/>
          <w:szCs w:val="20"/>
        </w:rPr>
        <w:t>[Please select all that apply]</w:t>
      </w:r>
    </w:p>
    <w:p w14:paraId="140AFC62" w14:textId="77777777" w:rsidR="00381868" w:rsidRPr="00543FB5" w:rsidRDefault="00381868" w:rsidP="00381868">
      <w:pPr>
        <w:pStyle w:val="ListNumber"/>
        <w:numPr>
          <w:ilvl w:val="0"/>
          <w:numId w:val="0"/>
        </w:numPr>
        <w:ind w:left="360"/>
        <w:rPr>
          <w:sz w:val="20"/>
          <w:szCs w:val="20"/>
        </w:rPr>
      </w:pPr>
    </w:p>
    <w:p w14:paraId="0480E4BE" w14:textId="77777777" w:rsidR="00381868" w:rsidRPr="00543FB5" w:rsidRDefault="00381868" w:rsidP="00F9645E">
      <w:pPr>
        <w:pStyle w:val="ListNumber"/>
        <w:numPr>
          <w:ilvl w:val="0"/>
          <w:numId w:val="25"/>
        </w:numPr>
        <w:rPr>
          <w:sz w:val="20"/>
          <w:szCs w:val="20"/>
        </w:rPr>
      </w:pPr>
      <w:r w:rsidRPr="00543FB5">
        <w:rPr>
          <w:sz w:val="20"/>
          <w:szCs w:val="20"/>
        </w:rPr>
        <w:t>Classifications</w:t>
      </w:r>
    </w:p>
    <w:p w14:paraId="5FD3F5C8" w14:textId="77777777" w:rsidR="00381868" w:rsidRPr="00543FB5" w:rsidRDefault="00381868" w:rsidP="00F9645E">
      <w:pPr>
        <w:pStyle w:val="ListNumber"/>
        <w:numPr>
          <w:ilvl w:val="0"/>
          <w:numId w:val="25"/>
        </w:numPr>
        <w:rPr>
          <w:sz w:val="20"/>
          <w:szCs w:val="20"/>
        </w:rPr>
      </w:pPr>
      <w:r w:rsidRPr="00543FB5">
        <w:rPr>
          <w:sz w:val="20"/>
          <w:szCs w:val="20"/>
        </w:rPr>
        <w:t>Geographical locations</w:t>
      </w:r>
    </w:p>
    <w:p w14:paraId="6188F2AA" w14:textId="77777777" w:rsidR="00381868" w:rsidRPr="00543FB5" w:rsidRDefault="00381868" w:rsidP="00F9645E">
      <w:pPr>
        <w:pStyle w:val="ListNumber"/>
        <w:numPr>
          <w:ilvl w:val="0"/>
          <w:numId w:val="25"/>
        </w:numPr>
        <w:rPr>
          <w:sz w:val="20"/>
          <w:szCs w:val="20"/>
        </w:rPr>
      </w:pPr>
      <w:r w:rsidRPr="00543FB5">
        <w:rPr>
          <w:sz w:val="20"/>
          <w:szCs w:val="20"/>
        </w:rPr>
        <w:t>Job types</w:t>
      </w:r>
    </w:p>
    <w:p w14:paraId="5DD24B02" w14:textId="77777777" w:rsidR="00381868" w:rsidRPr="00543FB5" w:rsidRDefault="00381868" w:rsidP="00F9645E">
      <w:pPr>
        <w:pStyle w:val="ListNumber"/>
        <w:numPr>
          <w:ilvl w:val="0"/>
          <w:numId w:val="25"/>
        </w:numPr>
        <w:rPr>
          <w:sz w:val="20"/>
          <w:szCs w:val="20"/>
        </w:rPr>
      </w:pPr>
      <w:r w:rsidRPr="00543FB5">
        <w:rPr>
          <w:sz w:val="20"/>
          <w:szCs w:val="20"/>
        </w:rPr>
        <w:t>None of the above</w:t>
      </w:r>
    </w:p>
    <w:p w14:paraId="6794711A" w14:textId="77777777" w:rsidR="00381868" w:rsidRPr="00543FB5" w:rsidRDefault="00381868" w:rsidP="00381868">
      <w:pPr>
        <w:pStyle w:val="ListNumber"/>
        <w:numPr>
          <w:ilvl w:val="0"/>
          <w:numId w:val="0"/>
        </w:numPr>
        <w:ind w:left="360" w:hanging="360"/>
        <w:rPr>
          <w:sz w:val="20"/>
          <w:szCs w:val="20"/>
        </w:rPr>
      </w:pPr>
    </w:p>
    <w:p w14:paraId="44C3E96E" w14:textId="77777777" w:rsidR="00381868" w:rsidRPr="00543FB5" w:rsidRDefault="00381868" w:rsidP="00381868">
      <w:pPr>
        <w:pStyle w:val="ListNumber"/>
        <w:rPr>
          <w:sz w:val="20"/>
          <w:szCs w:val="20"/>
        </w:rPr>
      </w:pPr>
      <w:r w:rsidRPr="00543FB5">
        <w:rPr>
          <w:sz w:val="20"/>
          <w:szCs w:val="20"/>
        </w:rPr>
        <w:t>Over the last two years, has your agency increased its capability to collect and analyse high level gender data (</w:t>
      </w:r>
      <w:r w:rsidRPr="00543FB5">
        <w:rPr>
          <w:i/>
          <w:sz w:val="20"/>
          <w:szCs w:val="20"/>
        </w:rPr>
        <w:t>Action area 5A</w:t>
      </w:r>
      <w:r w:rsidRPr="00543FB5">
        <w:rPr>
          <w:sz w:val="20"/>
          <w:szCs w:val="20"/>
        </w:rPr>
        <w:t>)?</w:t>
      </w:r>
    </w:p>
    <w:p w14:paraId="2ADF0BE3" w14:textId="77777777" w:rsidR="00381868" w:rsidRDefault="00381868" w:rsidP="00F9645E">
      <w:pPr>
        <w:pStyle w:val="ListParagraph"/>
        <w:numPr>
          <w:ilvl w:val="0"/>
          <w:numId w:val="26"/>
        </w:numPr>
      </w:pPr>
      <w:r>
        <w:t>Yes</w:t>
      </w:r>
    </w:p>
    <w:p w14:paraId="49D7BEA8" w14:textId="77777777" w:rsidR="00381868" w:rsidRDefault="00381868" w:rsidP="00F9645E">
      <w:pPr>
        <w:pStyle w:val="ListParagraph"/>
        <w:numPr>
          <w:ilvl w:val="0"/>
          <w:numId w:val="26"/>
        </w:numPr>
      </w:pPr>
      <w:r>
        <w:t>No</w:t>
      </w:r>
    </w:p>
    <w:p w14:paraId="74BA1FE6" w14:textId="77777777" w:rsidR="00381868" w:rsidRPr="00543FB5" w:rsidRDefault="00381868" w:rsidP="00381868">
      <w:pPr>
        <w:pStyle w:val="ListNumber"/>
        <w:rPr>
          <w:sz w:val="20"/>
          <w:szCs w:val="20"/>
        </w:rPr>
      </w:pPr>
      <w:r w:rsidRPr="00543FB5">
        <w:rPr>
          <w:sz w:val="20"/>
          <w:szCs w:val="20"/>
        </w:rPr>
        <w:t>Does your agency collect and internally publish data disaggregated by diversity and inclusion groups on the following (</w:t>
      </w:r>
      <w:r w:rsidRPr="00543FB5">
        <w:rPr>
          <w:i/>
          <w:sz w:val="20"/>
          <w:szCs w:val="20"/>
        </w:rPr>
        <w:t>Action area 5A)</w:t>
      </w:r>
      <w:r w:rsidRPr="00543FB5">
        <w:rPr>
          <w:sz w:val="20"/>
          <w:szCs w:val="20"/>
        </w:rPr>
        <w:t>? For example, publishing internally can include your agency publishing this data on an internal intranet or dashboard, or creating reports on this data for agency senior executives.</w:t>
      </w:r>
    </w:p>
    <w:p w14:paraId="2366B7D6" w14:textId="3DC764C6" w:rsidR="00381868" w:rsidRDefault="00381868" w:rsidP="00777043">
      <w:pPr>
        <w:pStyle w:val="ListNumber"/>
        <w:numPr>
          <w:ilvl w:val="0"/>
          <w:numId w:val="0"/>
        </w:numPr>
        <w:ind w:firstLine="360"/>
        <w:rPr>
          <w:color w:val="7F7F7F" w:themeColor="accent6"/>
          <w:sz w:val="20"/>
          <w:szCs w:val="20"/>
        </w:rPr>
      </w:pPr>
      <w:r w:rsidRPr="00543FB5">
        <w:rPr>
          <w:color w:val="7F7F7F" w:themeColor="accent6"/>
          <w:sz w:val="20"/>
          <w:szCs w:val="20"/>
        </w:rPr>
        <w:t>[Please select all that apply]</w:t>
      </w:r>
    </w:p>
    <w:p w14:paraId="2571CAA3" w14:textId="77777777" w:rsidR="00777043" w:rsidRPr="00543FB5" w:rsidRDefault="00777043" w:rsidP="00777043">
      <w:pPr>
        <w:pStyle w:val="ListNumber"/>
        <w:numPr>
          <w:ilvl w:val="0"/>
          <w:numId w:val="0"/>
        </w:numPr>
        <w:ind w:firstLine="360"/>
        <w:rPr>
          <w:sz w:val="20"/>
          <w:szCs w:val="20"/>
        </w:rPr>
      </w:pPr>
    </w:p>
    <w:tbl>
      <w:tblPr>
        <w:tblStyle w:val="TableGrid"/>
        <w:tblW w:w="0" w:type="auto"/>
        <w:tblInd w:w="360" w:type="dxa"/>
        <w:tblLook w:val="04A0" w:firstRow="1" w:lastRow="0" w:firstColumn="1" w:lastColumn="0" w:noHBand="0" w:noVBand="1"/>
        <w:tblCaption w:val="APS Gender Equality Strategy Survey questions"/>
        <w:tblDescription w:val="Employees with disability - Collect or publish internally&#10;First nations representation - collect or publish internally&#10;CALD representation - collect or publish internally&#10;Other (please specify) Collect or publish internally&#10;None of the above - collect or publish internally"/>
      </w:tblPr>
      <w:tblGrid>
        <w:gridCol w:w="2885"/>
        <w:gridCol w:w="2885"/>
        <w:gridCol w:w="2886"/>
      </w:tblGrid>
      <w:tr w:rsidR="00381868" w14:paraId="431605B1" w14:textId="77777777" w:rsidTr="0050080A">
        <w:trPr>
          <w:tblHeader/>
        </w:trPr>
        <w:tc>
          <w:tcPr>
            <w:tcW w:w="2885" w:type="dxa"/>
          </w:tcPr>
          <w:p w14:paraId="36A75B31" w14:textId="77777777" w:rsidR="00381868" w:rsidRPr="00543FB5" w:rsidRDefault="00381868" w:rsidP="006B475D">
            <w:pPr>
              <w:pStyle w:val="ListNumber"/>
              <w:numPr>
                <w:ilvl w:val="0"/>
                <w:numId w:val="0"/>
              </w:numPr>
              <w:rPr>
                <w:sz w:val="20"/>
                <w:szCs w:val="20"/>
              </w:rPr>
            </w:pPr>
            <w:bookmarkStart w:id="1993" w:name="_GoBack" w:colFirst="0" w:colLast="3"/>
          </w:p>
        </w:tc>
        <w:tc>
          <w:tcPr>
            <w:tcW w:w="2885" w:type="dxa"/>
          </w:tcPr>
          <w:p w14:paraId="4D624775" w14:textId="77777777" w:rsidR="00381868" w:rsidRPr="00543FB5" w:rsidRDefault="00381868" w:rsidP="006B475D">
            <w:pPr>
              <w:pStyle w:val="ListNumber"/>
              <w:numPr>
                <w:ilvl w:val="0"/>
                <w:numId w:val="0"/>
              </w:numPr>
              <w:jc w:val="center"/>
              <w:rPr>
                <w:sz w:val="20"/>
                <w:szCs w:val="20"/>
              </w:rPr>
            </w:pPr>
            <w:r w:rsidRPr="00543FB5">
              <w:rPr>
                <w:sz w:val="20"/>
                <w:szCs w:val="20"/>
              </w:rPr>
              <w:t>Collect</w:t>
            </w:r>
          </w:p>
        </w:tc>
        <w:tc>
          <w:tcPr>
            <w:tcW w:w="2886" w:type="dxa"/>
          </w:tcPr>
          <w:p w14:paraId="4E5C397B" w14:textId="77777777" w:rsidR="00381868" w:rsidRPr="00543FB5" w:rsidRDefault="00381868" w:rsidP="006B475D">
            <w:pPr>
              <w:pStyle w:val="ListNumber"/>
              <w:numPr>
                <w:ilvl w:val="0"/>
                <w:numId w:val="0"/>
              </w:numPr>
              <w:jc w:val="center"/>
              <w:rPr>
                <w:sz w:val="20"/>
                <w:szCs w:val="20"/>
              </w:rPr>
            </w:pPr>
            <w:r w:rsidRPr="00543FB5">
              <w:rPr>
                <w:sz w:val="20"/>
                <w:szCs w:val="20"/>
              </w:rPr>
              <w:t>Publish internally</w:t>
            </w:r>
          </w:p>
        </w:tc>
      </w:tr>
      <w:bookmarkEnd w:id="1993"/>
      <w:tr w:rsidR="00381868" w14:paraId="1484E665" w14:textId="77777777" w:rsidTr="006B475D">
        <w:tc>
          <w:tcPr>
            <w:tcW w:w="2885" w:type="dxa"/>
          </w:tcPr>
          <w:p w14:paraId="3EE52141" w14:textId="77777777" w:rsidR="00381868" w:rsidRPr="00543FB5" w:rsidRDefault="00381868" w:rsidP="006B475D">
            <w:pPr>
              <w:pStyle w:val="ListNumber"/>
              <w:numPr>
                <w:ilvl w:val="0"/>
                <w:numId w:val="0"/>
              </w:numPr>
              <w:rPr>
                <w:sz w:val="20"/>
                <w:szCs w:val="20"/>
              </w:rPr>
            </w:pPr>
            <w:r w:rsidRPr="00543FB5">
              <w:rPr>
                <w:sz w:val="20"/>
                <w:szCs w:val="20"/>
              </w:rPr>
              <w:t>Employees with disability</w:t>
            </w:r>
          </w:p>
        </w:tc>
        <w:tc>
          <w:tcPr>
            <w:tcW w:w="2885" w:type="dxa"/>
          </w:tcPr>
          <w:p w14:paraId="77399F2A" w14:textId="7D9536DB" w:rsidR="00381868" w:rsidRPr="00543FB5" w:rsidRDefault="00260D55" w:rsidP="006B475D">
            <w:pPr>
              <w:pStyle w:val="ListNumber"/>
              <w:numPr>
                <w:ilvl w:val="0"/>
                <w:numId w:val="0"/>
              </w:numPr>
              <w:jc w:val="center"/>
              <w:rPr>
                <w:sz w:val="20"/>
                <w:szCs w:val="20"/>
              </w:rPr>
            </w:pPr>
            <w:sdt>
              <w:sdtPr>
                <w:rPr>
                  <w:sz w:val="20"/>
                  <w:szCs w:val="20"/>
                </w:rPr>
                <w:id w:val="-159776863"/>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2886" w:type="dxa"/>
          </w:tcPr>
          <w:p w14:paraId="789C0551" w14:textId="1BA4BF5A" w:rsidR="00381868" w:rsidRPr="00543FB5" w:rsidRDefault="00260D55" w:rsidP="006B475D">
            <w:pPr>
              <w:pStyle w:val="ListNumber"/>
              <w:numPr>
                <w:ilvl w:val="0"/>
                <w:numId w:val="0"/>
              </w:numPr>
              <w:jc w:val="center"/>
              <w:rPr>
                <w:sz w:val="20"/>
                <w:szCs w:val="20"/>
              </w:rPr>
            </w:pPr>
            <w:sdt>
              <w:sdtPr>
                <w:rPr>
                  <w:sz w:val="20"/>
                  <w:szCs w:val="20"/>
                </w:rPr>
                <w:id w:val="-1140878670"/>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73D9454E" w14:textId="77777777" w:rsidTr="006B475D">
        <w:tc>
          <w:tcPr>
            <w:tcW w:w="2885" w:type="dxa"/>
          </w:tcPr>
          <w:p w14:paraId="49876ECF" w14:textId="77777777" w:rsidR="00381868" w:rsidRPr="00543FB5" w:rsidRDefault="00381868" w:rsidP="006B475D">
            <w:pPr>
              <w:pStyle w:val="ListNumber"/>
              <w:numPr>
                <w:ilvl w:val="0"/>
                <w:numId w:val="0"/>
              </w:numPr>
              <w:rPr>
                <w:sz w:val="20"/>
                <w:szCs w:val="20"/>
              </w:rPr>
            </w:pPr>
            <w:r w:rsidRPr="00543FB5">
              <w:rPr>
                <w:sz w:val="20"/>
                <w:szCs w:val="20"/>
              </w:rPr>
              <w:t>First Nations representation</w:t>
            </w:r>
          </w:p>
        </w:tc>
        <w:tc>
          <w:tcPr>
            <w:tcW w:w="2885" w:type="dxa"/>
          </w:tcPr>
          <w:p w14:paraId="6BB2C4ED" w14:textId="0BBF4831" w:rsidR="00381868" w:rsidRPr="00543FB5" w:rsidRDefault="00260D55" w:rsidP="006B475D">
            <w:pPr>
              <w:pStyle w:val="ListNumber"/>
              <w:numPr>
                <w:ilvl w:val="0"/>
                <w:numId w:val="0"/>
              </w:numPr>
              <w:jc w:val="center"/>
              <w:rPr>
                <w:sz w:val="20"/>
                <w:szCs w:val="20"/>
              </w:rPr>
            </w:pPr>
            <w:sdt>
              <w:sdtPr>
                <w:rPr>
                  <w:sz w:val="20"/>
                  <w:szCs w:val="20"/>
                </w:rPr>
                <w:id w:val="307983685"/>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2886" w:type="dxa"/>
          </w:tcPr>
          <w:p w14:paraId="4439AE1C" w14:textId="23D042CF" w:rsidR="00381868" w:rsidRPr="00543FB5" w:rsidRDefault="00260D55" w:rsidP="006B475D">
            <w:pPr>
              <w:pStyle w:val="ListNumber"/>
              <w:numPr>
                <w:ilvl w:val="0"/>
                <w:numId w:val="0"/>
              </w:numPr>
              <w:jc w:val="center"/>
              <w:rPr>
                <w:sz w:val="20"/>
                <w:szCs w:val="20"/>
              </w:rPr>
            </w:pPr>
            <w:sdt>
              <w:sdtPr>
                <w:rPr>
                  <w:sz w:val="20"/>
                  <w:szCs w:val="20"/>
                </w:rPr>
                <w:id w:val="-1108890973"/>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2857201D" w14:textId="77777777" w:rsidTr="006B475D">
        <w:tc>
          <w:tcPr>
            <w:tcW w:w="2885" w:type="dxa"/>
          </w:tcPr>
          <w:p w14:paraId="7144B912" w14:textId="77777777" w:rsidR="00381868" w:rsidRPr="00543FB5" w:rsidRDefault="00381868" w:rsidP="006B475D">
            <w:pPr>
              <w:pStyle w:val="ListNumber"/>
              <w:numPr>
                <w:ilvl w:val="0"/>
                <w:numId w:val="0"/>
              </w:numPr>
              <w:rPr>
                <w:sz w:val="20"/>
                <w:szCs w:val="20"/>
              </w:rPr>
            </w:pPr>
            <w:r w:rsidRPr="00543FB5">
              <w:rPr>
                <w:sz w:val="20"/>
                <w:szCs w:val="20"/>
              </w:rPr>
              <w:t>CALD representation</w:t>
            </w:r>
          </w:p>
        </w:tc>
        <w:tc>
          <w:tcPr>
            <w:tcW w:w="2885" w:type="dxa"/>
          </w:tcPr>
          <w:p w14:paraId="747CCB91" w14:textId="21161DF8" w:rsidR="00381868" w:rsidRPr="00543FB5" w:rsidRDefault="00260D55" w:rsidP="006B475D">
            <w:pPr>
              <w:pStyle w:val="ListNumber"/>
              <w:numPr>
                <w:ilvl w:val="0"/>
                <w:numId w:val="0"/>
              </w:numPr>
              <w:jc w:val="center"/>
              <w:rPr>
                <w:sz w:val="20"/>
                <w:szCs w:val="20"/>
              </w:rPr>
            </w:pPr>
            <w:sdt>
              <w:sdtPr>
                <w:rPr>
                  <w:sz w:val="20"/>
                  <w:szCs w:val="20"/>
                </w:rPr>
                <w:id w:val="1565602268"/>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c>
          <w:tcPr>
            <w:tcW w:w="2886" w:type="dxa"/>
          </w:tcPr>
          <w:p w14:paraId="729A6665" w14:textId="078A3910" w:rsidR="00381868" w:rsidRPr="00543FB5" w:rsidRDefault="00260D55" w:rsidP="006B475D">
            <w:pPr>
              <w:pStyle w:val="ListNumber"/>
              <w:numPr>
                <w:ilvl w:val="0"/>
                <w:numId w:val="0"/>
              </w:numPr>
              <w:jc w:val="center"/>
              <w:rPr>
                <w:sz w:val="20"/>
                <w:szCs w:val="20"/>
              </w:rPr>
            </w:pPr>
            <w:sdt>
              <w:sdtPr>
                <w:rPr>
                  <w:sz w:val="20"/>
                  <w:szCs w:val="20"/>
                </w:rPr>
                <w:id w:val="1598517098"/>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6D47FEEA" w14:textId="77777777" w:rsidTr="006B475D">
        <w:tc>
          <w:tcPr>
            <w:tcW w:w="2885" w:type="dxa"/>
          </w:tcPr>
          <w:p w14:paraId="3177AFE9" w14:textId="77777777" w:rsidR="00381868" w:rsidRPr="00543FB5" w:rsidRDefault="00381868" w:rsidP="006B475D">
            <w:pPr>
              <w:pStyle w:val="ListNumber"/>
              <w:numPr>
                <w:ilvl w:val="0"/>
                <w:numId w:val="0"/>
              </w:numPr>
              <w:rPr>
                <w:sz w:val="20"/>
                <w:szCs w:val="20"/>
              </w:rPr>
            </w:pPr>
            <w:r w:rsidRPr="00543FB5">
              <w:rPr>
                <w:sz w:val="20"/>
                <w:szCs w:val="20"/>
              </w:rPr>
              <w:t>Other (please specify)</w:t>
            </w:r>
          </w:p>
          <w:p w14:paraId="57A43A09" w14:textId="77777777" w:rsidR="00381868" w:rsidRPr="00543FB5" w:rsidRDefault="00381868" w:rsidP="006B475D">
            <w:pPr>
              <w:pStyle w:val="ListNumber"/>
              <w:numPr>
                <w:ilvl w:val="0"/>
                <w:numId w:val="0"/>
              </w:numPr>
              <w:rPr>
                <w:sz w:val="20"/>
                <w:szCs w:val="20"/>
              </w:rPr>
            </w:pPr>
          </w:p>
          <w:p w14:paraId="5253548B" w14:textId="77777777" w:rsidR="00381868" w:rsidRPr="00543FB5" w:rsidRDefault="00381868" w:rsidP="006B475D">
            <w:pPr>
              <w:pStyle w:val="ListNumber"/>
              <w:numPr>
                <w:ilvl w:val="0"/>
                <w:numId w:val="0"/>
              </w:numPr>
              <w:rPr>
                <w:sz w:val="20"/>
                <w:szCs w:val="20"/>
              </w:rPr>
            </w:pPr>
          </w:p>
        </w:tc>
        <w:tc>
          <w:tcPr>
            <w:tcW w:w="2885" w:type="dxa"/>
          </w:tcPr>
          <w:p w14:paraId="61DF3A33" w14:textId="617218A4" w:rsidR="00381868" w:rsidRPr="00543FB5" w:rsidRDefault="00381868" w:rsidP="006B475D">
            <w:pPr>
              <w:pStyle w:val="ListNumber"/>
              <w:numPr>
                <w:ilvl w:val="0"/>
                <w:numId w:val="0"/>
              </w:numPr>
              <w:tabs>
                <w:tab w:val="center" w:pos="1334"/>
                <w:tab w:val="right" w:pos="2669"/>
              </w:tabs>
              <w:rPr>
                <w:sz w:val="20"/>
                <w:szCs w:val="20"/>
              </w:rPr>
            </w:pPr>
            <w:r w:rsidRPr="00543FB5">
              <w:rPr>
                <w:sz w:val="20"/>
                <w:szCs w:val="20"/>
              </w:rPr>
              <w:tab/>
            </w:r>
            <w:sdt>
              <w:sdtPr>
                <w:rPr>
                  <w:sz w:val="20"/>
                  <w:szCs w:val="20"/>
                </w:rPr>
                <w:id w:val="1809893158"/>
                <w14:checkbox>
                  <w14:checked w14:val="0"/>
                  <w14:checkedState w14:val="2612" w14:font="MS Gothic"/>
                  <w14:uncheckedState w14:val="2610" w14:font="MS Gothic"/>
                </w14:checkbox>
              </w:sdtPr>
              <w:sdtContent>
                <w:r w:rsidRPr="00543FB5">
                  <w:rPr>
                    <w:rFonts w:ascii="MS Gothic" w:eastAsia="MS Gothic" w:hAnsi="MS Gothic" w:hint="eastAsia"/>
                    <w:sz w:val="20"/>
                    <w:szCs w:val="20"/>
                  </w:rPr>
                  <w:t>☐</w:t>
                </w:r>
              </w:sdtContent>
            </w:sdt>
            <w:r w:rsidRPr="00543FB5">
              <w:rPr>
                <w:sz w:val="20"/>
                <w:szCs w:val="20"/>
              </w:rPr>
              <w:tab/>
            </w:r>
          </w:p>
        </w:tc>
        <w:tc>
          <w:tcPr>
            <w:tcW w:w="2886" w:type="dxa"/>
          </w:tcPr>
          <w:p w14:paraId="4BC8B156" w14:textId="77777777" w:rsidR="00381868" w:rsidRPr="00543FB5" w:rsidRDefault="00260D55" w:rsidP="006B475D">
            <w:pPr>
              <w:pStyle w:val="ListNumber"/>
              <w:numPr>
                <w:ilvl w:val="0"/>
                <w:numId w:val="0"/>
              </w:numPr>
              <w:jc w:val="center"/>
              <w:rPr>
                <w:sz w:val="20"/>
                <w:szCs w:val="20"/>
              </w:rPr>
            </w:pPr>
            <w:sdt>
              <w:sdtPr>
                <w:rPr>
                  <w:sz w:val="20"/>
                  <w:szCs w:val="20"/>
                </w:rPr>
                <w:id w:val="-832448342"/>
                <w14:checkbox>
                  <w14:checked w14:val="0"/>
                  <w14:checkedState w14:val="2612" w14:font="MS Gothic"/>
                  <w14:uncheckedState w14:val="2610" w14:font="MS Gothic"/>
                </w14:checkbox>
              </w:sdtPr>
              <w:sdtContent>
                <w:r w:rsidR="00381868" w:rsidRPr="00543FB5">
                  <w:rPr>
                    <w:rFonts w:ascii="MS Gothic" w:eastAsia="MS Gothic" w:hAnsi="MS Gothic" w:hint="eastAsia"/>
                    <w:sz w:val="20"/>
                    <w:szCs w:val="20"/>
                  </w:rPr>
                  <w:t>☐</w:t>
                </w:r>
              </w:sdtContent>
            </w:sdt>
          </w:p>
        </w:tc>
      </w:tr>
      <w:tr w:rsidR="00381868" w14:paraId="2BFEECA0" w14:textId="77777777" w:rsidTr="006B475D">
        <w:tc>
          <w:tcPr>
            <w:tcW w:w="2885" w:type="dxa"/>
          </w:tcPr>
          <w:p w14:paraId="7E0B4C91" w14:textId="77777777" w:rsidR="00381868" w:rsidRPr="00543FB5" w:rsidRDefault="00381868" w:rsidP="006B475D">
            <w:pPr>
              <w:pStyle w:val="ListNumber"/>
              <w:numPr>
                <w:ilvl w:val="0"/>
                <w:numId w:val="0"/>
              </w:numPr>
              <w:rPr>
                <w:sz w:val="20"/>
                <w:szCs w:val="20"/>
              </w:rPr>
            </w:pPr>
            <w:r w:rsidRPr="00543FB5">
              <w:rPr>
                <w:sz w:val="20"/>
                <w:szCs w:val="20"/>
              </w:rPr>
              <w:t>None of the above</w:t>
            </w:r>
          </w:p>
        </w:tc>
        <w:tc>
          <w:tcPr>
            <w:tcW w:w="2885" w:type="dxa"/>
          </w:tcPr>
          <w:p w14:paraId="128556BB" w14:textId="77777777" w:rsidR="00381868" w:rsidRPr="00543FB5" w:rsidRDefault="00381868" w:rsidP="006B475D">
            <w:pPr>
              <w:pStyle w:val="ListNumber"/>
              <w:numPr>
                <w:ilvl w:val="0"/>
                <w:numId w:val="0"/>
              </w:numPr>
              <w:jc w:val="center"/>
              <w:rPr>
                <w:sz w:val="20"/>
                <w:szCs w:val="20"/>
              </w:rPr>
            </w:pPr>
            <w:r w:rsidRPr="00543FB5">
              <w:rPr>
                <w:rFonts w:ascii="Segoe UI Symbol" w:hAnsi="Segoe UI Symbol" w:cs="Segoe UI Symbol"/>
                <w:sz w:val="20"/>
                <w:szCs w:val="20"/>
              </w:rPr>
              <w:t>☐</w:t>
            </w:r>
          </w:p>
        </w:tc>
        <w:tc>
          <w:tcPr>
            <w:tcW w:w="2886" w:type="dxa"/>
          </w:tcPr>
          <w:p w14:paraId="205D07BF" w14:textId="77777777" w:rsidR="00381868" w:rsidRPr="00543FB5" w:rsidRDefault="00381868" w:rsidP="006B475D">
            <w:pPr>
              <w:pStyle w:val="ListNumber"/>
              <w:numPr>
                <w:ilvl w:val="0"/>
                <w:numId w:val="0"/>
              </w:numPr>
              <w:jc w:val="center"/>
              <w:rPr>
                <w:sz w:val="20"/>
                <w:szCs w:val="20"/>
              </w:rPr>
            </w:pPr>
            <w:r w:rsidRPr="00543FB5">
              <w:rPr>
                <w:rFonts w:ascii="Segoe UI Symbol" w:hAnsi="Segoe UI Symbol" w:cs="Segoe UI Symbol"/>
                <w:sz w:val="20"/>
                <w:szCs w:val="20"/>
              </w:rPr>
              <w:t>☐</w:t>
            </w:r>
          </w:p>
        </w:tc>
      </w:tr>
    </w:tbl>
    <w:p w14:paraId="6DC87F7A" w14:textId="77777777" w:rsidR="00381868" w:rsidRPr="00543FB5" w:rsidRDefault="00381868" w:rsidP="00381868">
      <w:pPr>
        <w:pStyle w:val="ListNumber"/>
        <w:numPr>
          <w:ilvl w:val="0"/>
          <w:numId w:val="0"/>
        </w:numPr>
        <w:ind w:left="360"/>
        <w:rPr>
          <w:sz w:val="20"/>
          <w:szCs w:val="20"/>
        </w:rPr>
      </w:pPr>
    </w:p>
    <w:p w14:paraId="3FCF64DB" w14:textId="77777777" w:rsidR="00381868" w:rsidRPr="00543FB5" w:rsidRDefault="00381868" w:rsidP="00381868">
      <w:pPr>
        <w:pStyle w:val="ListNumber"/>
        <w:rPr>
          <w:sz w:val="20"/>
          <w:szCs w:val="20"/>
        </w:rPr>
      </w:pPr>
      <w:r w:rsidRPr="00543FB5">
        <w:rPr>
          <w:sz w:val="20"/>
          <w:szCs w:val="20"/>
        </w:rPr>
        <w:t xml:space="preserve">Has analysis been conducted to identify the drivers of the gender pay gap in your agency </w:t>
      </w:r>
      <w:r w:rsidRPr="00543FB5">
        <w:rPr>
          <w:i/>
          <w:sz w:val="20"/>
          <w:szCs w:val="20"/>
        </w:rPr>
        <w:t>(Action area #5 minimum standards: Gender data</w:t>
      </w:r>
      <w:r w:rsidRPr="00543FB5">
        <w:rPr>
          <w:sz w:val="20"/>
          <w:szCs w:val="20"/>
        </w:rPr>
        <w:t>)?</w:t>
      </w:r>
    </w:p>
    <w:p w14:paraId="125CF104" w14:textId="77777777" w:rsidR="00381868" w:rsidRPr="00543FB5" w:rsidRDefault="00381868" w:rsidP="00F9645E">
      <w:pPr>
        <w:pStyle w:val="ListNumber"/>
        <w:numPr>
          <w:ilvl w:val="0"/>
          <w:numId w:val="29"/>
        </w:numPr>
        <w:rPr>
          <w:sz w:val="20"/>
          <w:szCs w:val="20"/>
        </w:rPr>
      </w:pPr>
      <w:r w:rsidRPr="00543FB5">
        <w:rPr>
          <w:sz w:val="20"/>
          <w:szCs w:val="20"/>
        </w:rPr>
        <w:t>Yes, analysis is underway or has been completed</w:t>
      </w:r>
    </w:p>
    <w:p w14:paraId="1296D68F" w14:textId="77777777" w:rsidR="00381868" w:rsidRPr="00543FB5" w:rsidRDefault="00381868" w:rsidP="00F9645E">
      <w:pPr>
        <w:pStyle w:val="ListNumber"/>
        <w:numPr>
          <w:ilvl w:val="0"/>
          <w:numId w:val="29"/>
        </w:numPr>
        <w:rPr>
          <w:sz w:val="20"/>
          <w:szCs w:val="20"/>
        </w:rPr>
      </w:pPr>
      <w:r w:rsidRPr="00543FB5">
        <w:rPr>
          <w:sz w:val="20"/>
          <w:szCs w:val="20"/>
        </w:rPr>
        <w:t>Not yet, but analysis is planned to be undertaken</w:t>
      </w:r>
    </w:p>
    <w:p w14:paraId="3FB1F6F4" w14:textId="77777777" w:rsidR="00381868" w:rsidRPr="00543FB5" w:rsidRDefault="00381868" w:rsidP="00F9645E">
      <w:pPr>
        <w:pStyle w:val="ListNumber"/>
        <w:numPr>
          <w:ilvl w:val="0"/>
          <w:numId w:val="29"/>
        </w:numPr>
        <w:rPr>
          <w:sz w:val="20"/>
          <w:szCs w:val="20"/>
        </w:rPr>
      </w:pPr>
      <w:r w:rsidRPr="00543FB5">
        <w:rPr>
          <w:sz w:val="20"/>
          <w:szCs w:val="20"/>
        </w:rPr>
        <w:t xml:space="preserve">No, analysis is not planned </w:t>
      </w:r>
    </w:p>
    <w:p w14:paraId="40215420" w14:textId="77777777" w:rsidR="00381868" w:rsidRPr="00777043" w:rsidRDefault="00381868" w:rsidP="00777043">
      <w:pPr>
        <w:spacing w:after="240"/>
        <w:rPr>
          <w:b/>
        </w:rPr>
      </w:pPr>
      <w:bookmarkStart w:id="1994" w:name="_Toc157595823"/>
      <w:bookmarkStart w:id="1995" w:name="_Toc165985827"/>
      <w:bookmarkStart w:id="1996" w:name="_Toc165991705"/>
      <w:bookmarkStart w:id="1997" w:name="_Toc166083003"/>
      <w:bookmarkStart w:id="1998" w:name="_Toc166160367"/>
      <w:bookmarkStart w:id="1999" w:name="_Toc166168066"/>
      <w:bookmarkStart w:id="2000" w:name="_Toc168329232"/>
      <w:bookmarkStart w:id="2001" w:name="_Toc168322888"/>
      <w:bookmarkStart w:id="2002" w:name="_Toc168388005"/>
      <w:bookmarkStart w:id="2003" w:name="_Toc168405660"/>
      <w:bookmarkStart w:id="2004" w:name="_Toc168408698"/>
      <w:bookmarkStart w:id="2005" w:name="_Toc168411100"/>
      <w:bookmarkStart w:id="2006" w:name="_Toc168405959"/>
      <w:bookmarkStart w:id="2007" w:name="_Toc168473767"/>
      <w:bookmarkStart w:id="2008" w:name="_Toc168471665"/>
      <w:bookmarkStart w:id="2009" w:name="_Toc168484725"/>
      <w:bookmarkStart w:id="2010" w:name="_Toc168495193"/>
      <w:bookmarkStart w:id="2011" w:name="_Toc168495642"/>
      <w:bookmarkStart w:id="2012" w:name="_Toc169103308"/>
      <w:bookmarkStart w:id="2013" w:name="_Toc169104782"/>
      <w:bookmarkStart w:id="2014" w:name="_Toc169278498"/>
      <w:r w:rsidRPr="00777043">
        <w:rPr>
          <w:b/>
        </w:rPr>
        <w:t>Final comments</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14:paraId="59A52065" w14:textId="77777777" w:rsidR="00381868" w:rsidRPr="00543FB5" w:rsidRDefault="00381868" w:rsidP="00381868">
      <w:pPr>
        <w:pStyle w:val="ListNumber"/>
        <w:rPr>
          <w:sz w:val="20"/>
          <w:szCs w:val="20"/>
        </w:rPr>
      </w:pPr>
      <w:r w:rsidRPr="00543FB5">
        <w:rPr>
          <w:sz w:val="20"/>
          <w:szCs w:val="20"/>
        </w:rPr>
        <w:t>What do you believe are the top three positive changes towards gender equality your agency has made, that are a direct outcome of the Gender Equality Strategy 2021-26?</w:t>
      </w:r>
    </w:p>
    <w:p w14:paraId="2ED8BB8D" w14:textId="6BB99C90"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4B9FE989" w14:textId="77777777" w:rsidR="00381868" w:rsidRPr="00543FB5" w:rsidRDefault="00381868" w:rsidP="00381868">
      <w:pPr>
        <w:pStyle w:val="ListNumber"/>
        <w:numPr>
          <w:ilvl w:val="0"/>
          <w:numId w:val="0"/>
        </w:numPr>
        <w:ind w:left="360"/>
        <w:rPr>
          <w:sz w:val="20"/>
          <w:szCs w:val="20"/>
        </w:rPr>
      </w:pPr>
    </w:p>
    <w:p w14:paraId="50CF1A64" w14:textId="77777777" w:rsidR="00381868" w:rsidRPr="00543FB5" w:rsidRDefault="00381868" w:rsidP="00381868">
      <w:pPr>
        <w:pStyle w:val="ListNumber"/>
        <w:rPr>
          <w:sz w:val="20"/>
          <w:szCs w:val="20"/>
        </w:rPr>
      </w:pPr>
      <w:r w:rsidRPr="00543FB5">
        <w:rPr>
          <w:sz w:val="20"/>
          <w:szCs w:val="20"/>
        </w:rPr>
        <w:t>Do you have any additional comments you would like to make about any of your responses to this survey?</w:t>
      </w:r>
    </w:p>
    <w:p w14:paraId="34343E34" w14:textId="2076C75C" w:rsidR="00381868" w:rsidRPr="00543FB5" w:rsidRDefault="00381868" w:rsidP="00381868">
      <w:pPr>
        <w:pStyle w:val="ListNumber"/>
        <w:numPr>
          <w:ilvl w:val="0"/>
          <w:numId w:val="0"/>
        </w:numPr>
        <w:rPr>
          <w:sz w:val="20"/>
          <w:szCs w:val="20"/>
        </w:rPr>
      </w:pPr>
      <w:r w:rsidRPr="00543FB5">
        <w:rPr>
          <w:sz w:val="20"/>
          <w:szCs w:val="20"/>
        </w:rPr>
        <w:t>____________________________________________________________________________________________________________________________________________________</w:t>
      </w:r>
    </w:p>
    <w:p w14:paraId="50A8F22D" w14:textId="756B88A1" w:rsidR="00381868" w:rsidRPr="00543FB5" w:rsidRDefault="00381868" w:rsidP="00381868">
      <w:pPr>
        <w:pStyle w:val="ListNumber"/>
        <w:numPr>
          <w:ilvl w:val="0"/>
          <w:numId w:val="0"/>
        </w:numPr>
        <w:rPr>
          <w:sz w:val="20"/>
          <w:szCs w:val="20"/>
        </w:rPr>
      </w:pPr>
      <w:r w:rsidRPr="00543FB5">
        <w:rPr>
          <w:sz w:val="20"/>
          <w:szCs w:val="20"/>
        </w:rPr>
        <w:lastRenderedPageBreak/>
        <w:t>__________________________________________________________________________</w:t>
      </w:r>
    </w:p>
    <w:p w14:paraId="7C5F9178" w14:textId="77777777" w:rsidR="00381868" w:rsidRPr="00543FB5" w:rsidRDefault="00381868" w:rsidP="00381868">
      <w:pPr>
        <w:rPr>
          <w:szCs w:val="20"/>
        </w:rPr>
      </w:pPr>
    </w:p>
    <w:p w14:paraId="795CA2B9" w14:textId="06577BD9" w:rsidR="00381868" w:rsidRPr="00543FB5" w:rsidRDefault="00381868" w:rsidP="00381868">
      <w:pPr>
        <w:pStyle w:val="ListNumber"/>
        <w:numPr>
          <w:ilvl w:val="0"/>
          <w:numId w:val="0"/>
        </w:numPr>
        <w:rPr>
          <w:sz w:val="20"/>
          <w:szCs w:val="20"/>
        </w:rPr>
      </w:pPr>
      <w:r w:rsidRPr="00543FB5">
        <w:rPr>
          <w:sz w:val="20"/>
          <w:szCs w:val="20"/>
        </w:rPr>
        <w:t xml:space="preserve">Thank you for completing this survey. Please email </w:t>
      </w:r>
      <w:hyperlink r:id="rId93" w:history="1">
        <w:r w:rsidRPr="00543FB5">
          <w:rPr>
            <w:rStyle w:val="Hyperlink"/>
            <w:sz w:val="20"/>
            <w:szCs w:val="20"/>
          </w:rPr>
          <w:t>evaluation@apsc.gov.au</w:t>
        </w:r>
      </w:hyperlink>
      <w:r w:rsidRPr="00543FB5">
        <w:rPr>
          <w:sz w:val="20"/>
          <w:szCs w:val="20"/>
        </w:rPr>
        <w:t xml:space="preserve"> if you have any further questions regarding this survey.</w:t>
      </w:r>
    </w:p>
    <w:p w14:paraId="34A3E1B0" w14:textId="77777777" w:rsidR="00A87379" w:rsidRDefault="00A87379" w:rsidP="008E2421"/>
    <w:sectPr w:rsidR="00A87379" w:rsidSect="0052437A">
      <w:footerReference w:type="default" r:id="rId94"/>
      <w:type w:val="continuous"/>
      <w:pgSz w:w="11906" w:h="16838" w:code="9"/>
      <w:pgMar w:top="1418" w:right="1418" w:bottom="634" w:left="1418" w:header="680" w:footer="680" w:gutter="0"/>
      <w:cols w:space="708"/>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7B34F" w16cex:dateUtc="2024-07-25T05:19:56.63Z"/>
  <w16cex:commentExtensible w16cex:durableId="1F3965CE" w16cex:dateUtc="2024-08-07T23:20:12.378Z"/>
</w16cex:commentsExtensible>
</file>

<file path=word/commentsIds.xml><?xml version="1.0" encoding="utf-8"?>
<w16cid:commentsIds xmlns:mc="http://schemas.openxmlformats.org/markup-compatibility/2006" xmlns:w16cid="http://schemas.microsoft.com/office/word/2016/wordml/cid" mc:Ignorable="w16cid">
  <w16cid:commentId w16cid:paraId="5776F718" w16cid:durableId="112DA4C7"/>
  <w16cid:commentId w16cid:paraId="4AC50B06" w16cid:durableId="6147EA46"/>
  <w16cid:commentId w16cid:paraId="0DD1C686" w16cid:durableId="52F3AB0D"/>
  <w16cid:commentId w16cid:paraId="24273B8A" w16cid:durableId="60877752"/>
  <w16cid:commentId w16cid:paraId="10377C9A" w16cid:durableId="70F3427A"/>
  <w16cid:commentId w16cid:paraId="08717BA7" w16cid:durableId="12CE6A03"/>
  <w16cid:commentId w16cid:paraId="51578F79" w16cid:durableId="35D44FD3"/>
  <w16cid:commentId w16cid:paraId="1386D1FF" w16cid:durableId="4E47E65F"/>
  <w16cid:commentId w16cid:paraId="79BF886E" w16cid:durableId="0E1024E2"/>
  <w16cid:commentId w16cid:paraId="457673CF" w16cid:durableId="3D66D4C7"/>
  <w16cid:commentId w16cid:paraId="07672600" w16cid:durableId="618AF673"/>
  <w16cid:commentId w16cid:paraId="75C3E863" w16cid:durableId="456DDAA6"/>
  <w16cid:commentId w16cid:paraId="6D6D2E44" w16cid:durableId="191E7C1E"/>
  <w16cid:commentId w16cid:paraId="085132EF" w16cid:durableId="12540BD2"/>
  <w16cid:commentId w16cid:paraId="678125AC" w16cid:durableId="7B8958E1"/>
  <w16cid:commentId w16cid:paraId="71396A32" w16cid:durableId="13122767"/>
  <w16cid:commentId w16cid:paraId="01001066" w16cid:durableId="3B17A891"/>
  <w16cid:commentId w16cid:paraId="4D7AE972" w16cid:durableId="12FB5423"/>
  <w16cid:commentId w16cid:paraId="274097C9" w16cid:durableId="2F7BA9E7"/>
  <w16cid:commentId w16cid:paraId="2DC11CA3" w16cid:durableId="7ABBE0D6"/>
  <w16cid:commentId w16cid:paraId="38D3995A" w16cid:durableId="418EF2A9"/>
  <w16cid:commentId w16cid:paraId="517D4340" w16cid:durableId="7C4DD94A"/>
  <w16cid:commentId w16cid:paraId="1EE597DB" w16cid:durableId="448106CF"/>
  <w16cid:commentId w16cid:paraId="53F35F04" w16cid:durableId="42EFA7FB"/>
  <w16cid:commentId w16cid:paraId="4DC89AB2" w16cid:durableId="3C4B9891"/>
  <w16cid:commentId w16cid:paraId="5CAE70E7" w16cid:durableId="7F1F2C6F"/>
  <w16cid:commentId w16cid:paraId="234A8A7F" w16cid:durableId="37D1ADDD"/>
  <w16cid:commentId w16cid:paraId="54D2E5E6" w16cid:durableId="67042B65"/>
  <w16cid:commentId w16cid:paraId="33A0194D" w16cid:durableId="42340C67"/>
  <w16cid:commentId w16cid:paraId="7851E18E" w16cid:durableId="56AFF0B2"/>
  <w16cid:commentId w16cid:paraId="13F23F32" w16cid:durableId="7A118884"/>
  <w16cid:commentId w16cid:paraId="658FE9BD" w16cid:durableId="0830C341"/>
  <w16cid:commentId w16cid:paraId="397A6F67" w16cid:durableId="06175805"/>
  <w16cid:commentId w16cid:paraId="73CFB868" w16cid:durableId="4F616C86"/>
  <w16cid:commentId w16cid:paraId="5578149B" w16cid:durableId="31140D90"/>
  <w16cid:commentId w16cid:paraId="4FEC0B24" w16cid:durableId="5172EC7C"/>
  <w16cid:commentId w16cid:paraId="4880D001" w16cid:durableId="31D5E174"/>
  <w16cid:commentId w16cid:paraId="753212D9" w16cid:durableId="6D8E5EC4"/>
  <w16cid:commentId w16cid:paraId="58A9378C" w16cid:durableId="17574CC3"/>
  <w16cid:commentId w16cid:paraId="71DFF6C5" w16cid:durableId="54FD9033"/>
  <w16cid:commentId w16cid:paraId="4B770C8F" w16cid:durableId="00B2BB0B"/>
  <w16cid:commentId w16cid:paraId="517AD509" w16cid:durableId="65915402"/>
  <w16cid:commentId w16cid:paraId="1060E805" w16cid:durableId="3C6AE4B6"/>
  <w16cid:commentId w16cid:paraId="00BC10BF" w16cid:durableId="3F4CB52C"/>
  <w16cid:commentId w16cid:paraId="7B4D7D4D" w16cid:durableId="536AA1DA"/>
  <w16cid:commentId w16cid:paraId="53ADC347" w16cid:durableId="2AF2E1E6"/>
  <w16cid:commentId w16cid:paraId="4F37B597" w16cid:durableId="7FD8F368"/>
  <w16cid:commentId w16cid:paraId="12749684" w16cid:durableId="4CF3C0FF"/>
  <w16cid:commentId w16cid:paraId="7F67F4DD" w16cid:durableId="308CC9A2"/>
  <w16cid:commentId w16cid:paraId="7960E7BF" w16cid:durableId="548774D8"/>
  <w16cid:commentId w16cid:paraId="67751E0C" w16cid:durableId="1FE8D5A8"/>
  <w16cid:commentId w16cid:paraId="7E7142C7" w16cid:durableId="0C2566C6"/>
  <w16cid:commentId w16cid:paraId="7D6B16FC" w16cid:durableId="3D37CB5C"/>
  <w16cid:commentId w16cid:paraId="5E30FE2D" w16cid:durableId="0BE11389"/>
  <w16cid:commentId w16cid:paraId="21A72DB1" w16cid:durableId="30E3218B"/>
  <w16cid:commentId w16cid:paraId="61474341" w16cid:durableId="40538881"/>
  <w16cid:commentId w16cid:paraId="043CD4C3" w16cid:durableId="45874D56"/>
  <w16cid:commentId w16cid:paraId="7E081331" w16cid:durableId="001B8D12"/>
  <w16cid:commentId w16cid:paraId="2647211A" w16cid:durableId="4CFE6D7A"/>
  <w16cid:commentId w16cid:paraId="3258C7E0" w16cid:durableId="779EC308"/>
  <w16cid:commentId w16cid:paraId="394F2683" w16cid:durableId="1B1C1087"/>
  <w16cid:commentId w16cid:paraId="6935772A" w16cid:durableId="519CD1AF"/>
  <w16cid:commentId w16cid:paraId="2675D609" w16cid:durableId="2876D462"/>
  <w16cid:commentId w16cid:paraId="5F2DA51A" w16cid:durableId="182607A7"/>
  <w16cid:commentId w16cid:paraId="3CE160EC" w16cid:durableId="2014F1B4"/>
  <w16cid:commentId w16cid:paraId="3C9DE04E" w16cid:durableId="4FFD6A1B"/>
  <w16cid:commentId w16cid:paraId="5C6D3D88" w16cid:durableId="52C22B7C"/>
  <w16cid:commentId w16cid:paraId="0346287A" w16cid:durableId="2F55B4AF"/>
  <w16cid:commentId w16cid:paraId="1CD08076" w16cid:durableId="2B35B298"/>
  <w16cid:commentId w16cid:paraId="6A571336" w16cid:durableId="4162C748"/>
  <w16cid:commentId w16cid:paraId="4D48F79D" w16cid:durableId="5CCE6AF3"/>
  <w16cid:commentId w16cid:paraId="1B4724E0" w16cid:durableId="5361D8EF"/>
  <w16cid:commentId w16cid:paraId="55889FDD" w16cid:durableId="72DCE233"/>
  <w16cid:commentId w16cid:paraId="202B6AB2" w16cid:durableId="16651A09"/>
  <w16cid:commentId w16cid:paraId="7E9E0D2B" w16cid:durableId="4BFC80C9"/>
  <w16cid:commentId w16cid:paraId="1149CA2A" w16cid:durableId="791EBB46"/>
  <w16cid:commentId w16cid:paraId="676050D2" w16cid:durableId="2178BFB8"/>
  <w16cid:commentId w16cid:paraId="2B81D60E" w16cid:durableId="2B93AF94"/>
  <w16cid:commentId w16cid:paraId="367BC4EF" w16cid:durableId="2F311779"/>
  <w16cid:commentId w16cid:paraId="783AB978" w16cid:durableId="718EA82C"/>
  <w16cid:commentId w16cid:paraId="27BF4FB6" w16cid:durableId="57787FFF"/>
  <w16cid:commentId w16cid:paraId="0B582158" w16cid:durableId="76055B91"/>
  <w16cid:commentId w16cid:paraId="017B5594" w16cid:durableId="2AB15E4C"/>
  <w16cid:commentId w16cid:paraId="4A1C94E5" w16cid:durableId="24873EA2"/>
  <w16cid:commentId w16cid:paraId="4E2B3C69" w16cid:durableId="7CC7B34F"/>
  <w16cid:commentId w16cid:paraId="2B044C5D" w16cid:durableId="1AA6A13D"/>
  <w16cid:commentId w16cid:paraId="79FC4776" w16cid:durableId="599AC045"/>
  <w16cid:commentId w16cid:paraId="23A24298" w16cid:durableId="0F437A43"/>
  <w16cid:commentId w16cid:paraId="68EFB7E8" w16cid:durableId="1F3965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8D22" w14:textId="77777777" w:rsidR="007C7E9E" w:rsidRDefault="007C7E9E" w:rsidP="00A66202">
      <w:pPr>
        <w:spacing w:before="0" w:after="0"/>
      </w:pPr>
      <w:r>
        <w:separator/>
      </w:r>
    </w:p>
    <w:p w14:paraId="15060701" w14:textId="77777777" w:rsidR="007C7E9E" w:rsidRDefault="007C7E9E"/>
  </w:endnote>
  <w:endnote w:type="continuationSeparator" w:id="0">
    <w:p w14:paraId="0544DA29" w14:textId="77777777" w:rsidR="007C7E9E" w:rsidRDefault="007C7E9E" w:rsidP="00A66202">
      <w:pPr>
        <w:spacing w:before="0" w:after="0"/>
      </w:pPr>
      <w:r>
        <w:continuationSeparator/>
      </w:r>
    </w:p>
    <w:p w14:paraId="3D72099F" w14:textId="77777777" w:rsidR="007C7E9E" w:rsidRDefault="007C7E9E"/>
  </w:endnote>
  <w:endnote w:type="continuationNotice" w:id="1">
    <w:p w14:paraId="0F27B18F" w14:textId="77777777" w:rsidR="007C7E9E" w:rsidRDefault="007C7E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HelveticaNeueLT Pro 57 Cn">
    <w:altName w:val="HelveticaNeueLT Pro 57 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49E" w14:textId="5FF15015" w:rsidR="00260D55" w:rsidRPr="00CA464C" w:rsidRDefault="00260D55" w:rsidP="00CA464C">
    <w:pPr>
      <w:pStyle w:val="Footer"/>
      <w:ind w:left="1462" w:firstLine="4298"/>
      <w:rPr>
        <w:sz w:val="14"/>
        <w:szCs w:val="14"/>
      </w:rPr>
    </w:pPr>
    <w:r w:rsidRPr="00CA464C">
      <w:rPr>
        <w:noProof/>
        <w:sz w:val="14"/>
        <w:szCs w:val="14"/>
        <w:lang w:eastAsia="en-AU"/>
      </w:rPr>
      <mc:AlternateContent>
        <mc:Choice Requires="wps">
          <w:drawing>
            <wp:anchor distT="0" distB="0" distL="114300" distR="114300" simplePos="0" relativeHeight="251658240" behindDoc="0" locked="0" layoutInCell="1" allowOverlap="1" wp14:anchorId="539AFD5D" wp14:editId="6AE2738B">
              <wp:simplePos x="0" y="0"/>
              <wp:positionH relativeFrom="margin">
                <wp:align>left</wp:align>
              </wp:positionH>
              <wp:positionV relativeFrom="paragraph">
                <wp:posOffset>109148</wp:posOffset>
              </wp:positionV>
              <wp:extent cx="5796951" cy="0"/>
              <wp:effectExtent l="0" t="0" r="32385" b="19050"/>
              <wp:wrapNone/>
              <wp:docPr id="1" name="Straight Connector 1" title="**"/>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77C0F" id="Straight Connector 1" o:spid="_x0000_s1026" alt="Title: **"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8.6pt" to="456.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Pr6wEAADIEAAAOAAAAZHJzL2Uyb0RvYy54bWysU01vGyEQvVfqf0AcI9W7tuS0WXmdg6P0&#10;0g+raX8AZsGLBAwaiNf+9x1YexOllapGubALM+/NvDewuj06yw4KowHf8vms5kx5CZ3x+5b/+nn/&#10;4RNnMQnfCQtetfykIr9dv3+3GkKjFtCD7RQyIvGxGULL+5RCU1VR9sqJOIOgPAU1oBOJtrivOhQD&#10;sTtbLer6uhoAu4AgVYx0ejcG+brwa61k+q51VInZllNvqaxY1l1eq/VKNHsUoTfy3IZ4RRdOGE9F&#10;J6o7kQR7RPMHlTMSIYJOMwmuAq2NVEUDqZnXL9Q89CKoooXMiWGyKb4drfx22CIzHc2OMy8cjegh&#10;oTD7PrENeE8GAjKKJZMsBa+usmVDiA0hN36L510MW8z6jxpd/pIydiw2nyab1TExSYfLjzfXN0vi&#10;lJdY9QQMGNNnBY7ln5Zb47MDohGHLzFRMUq9pORj6/MawZru3lhbNvnuqI1FdhA09d1+UQjso/sK&#10;3Xi2WNZ1mT2xlauW0wv3MyaKZfYqix3llb90smqs/ENpco4EzUuBiWisIaRUPs2zXYWJsjNMU5cT&#10;sP438Jyfoarc5/8BT4hSGXyawM54wL9VT8dLy3rMvzgw6s4W7KA7lcEXa+hiFoXnR5Rv/vN9gT89&#10;9fVvAAAA//8DAFBLAwQUAAYACAAAACEAKKdLadsAAAAGAQAADwAAAGRycy9kb3ducmV2LnhtbEyP&#10;zU7DMBCE70i8g7VI3KiTiL+GOFWFhMSlSC09wG0TL0kgXlex04S3ZxGHcpyZ1cy3xWp2vTrSEDrP&#10;BtJFAoq49rbjxsD+9enqHlSIyBZ7z2TgmwKsyvOzAnPrJ97ScRcbJSUccjTQxnjItQ51Sw7Dwh+I&#10;Jfvwg8Mocmi0HXCSctfrLElutcOOZaHFAz22VH/tRmfgbbQ32/fPl+a5oo3D6/0aN+lkzOXFvH4A&#10;FWmOp2P4xRd0KIWp8iPboHoD8kgU9y4DJekyzZagqj9Dl4X+j1/+AAAA//8DAFBLAQItABQABgAI&#10;AAAAIQC2gziS/gAAAOEBAAATAAAAAAAAAAAAAAAAAAAAAABbQ29udGVudF9UeXBlc10ueG1sUEsB&#10;Ai0AFAAGAAgAAAAhADj9If/WAAAAlAEAAAsAAAAAAAAAAAAAAAAALwEAAF9yZWxzLy5yZWxzUEsB&#10;Ai0AFAAGAAgAAAAhAExjI+vrAQAAMgQAAA4AAAAAAAAAAAAAAAAALgIAAGRycy9lMm9Eb2MueG1s&#10;UEsBAi0AFAAGAAgAAAAhACinS2nbAAAABgEAAA8AAAAAAAAAAAAAAAAARQQAAGRycy9kb3ducmV2&#10;LnhtbFBLBQYAAAAABAAEAPMAAABNBQAAAAA=&#10;" strokecolor="#393737 [814]" strokeweight=".5pt">
              <v:stroke joinstyle="miter"/>
              <w10:wrap anchorx="margin"/>
            </v:line>
          </w:pict>
        </mc:Fallback>
      </mc:AlternateContent>
    </w:r>
    <w:r w:rsidRPr="00CA464C">
      <w:rPr>
        <w:sz w:val="14"/>
        <w:szCs w:val="14"/>
      </w:rPr>
      <w:t>Australian Public Service Commission</w:t>
    </w:r>
    <w:r>
      <w:rPr>
        <w:sz w:val="14"/>
        <w:szCs w:val="14"/>
      </w:rPr>
      <w:t xml:space="preserve">   I   </w:t>
    </w:r>
    <w:r w:rsidRPr="00CA464C">
      <w:rPr>
        <w:b/>
        <w:sz w:val="14"/>
        <w:szCs w:val="14"/>
      </w:rPr>
      <w:t>Page</w:t>
    </w:r>
    <w:r>
      <w:rPr>
        <w:sz w:val="14"/>
        <w:szCs w:val="14"/>
      </w:rPr>
      <w:t xml:space="preserve"> </w:t>
    </w:r>
    <w:r w:rsidRPr="00CA464C">
      <w:rPr>
        <w:sz w:val="14"/>
        <w:szCs w:val="14"/>
      </w:rPr>
      <w:fldChar w:fldCharType="begin"/>
    </w:r>
    <w:r w:rsidRPr="00CA464C">
      <w:rPr>
        <w:sz w:val="14"/>
        <w:szCs w:val="14"/>
      </w:rPr>
      <w:instrText xml:space="preserve"> PAGE   \* MERGEFORMAT </w:instrText>
    </w:r>
    <w:r w:rsidRPr="00CA464C">
      <w:rPr>
        <w:sz w:val="14"/>
        <w:szCs w:val="14"/>
      </w:rPr>
      <w:fldChar w:fldCharType="separate"/>
    </w:r>
    <w:r w:rsidR="0050080A">
      <w:rPr>
        <w:noProof/>
        <w:sz w:val="14"/>
        <w:szCs w:val="14"/>
      </w:rPr>
      <w:t>22</w:t>
    </w:r>
    <w:r w:rsidRPr="00CA464C">
      <w:rPr>
        <w:noProof/>
        <w:sz w:val="14"/>
        <w:szCs w:val="14"/>
      </w:rPr>
      <w:fldChar w:fldCharType="end"/>
    </w:r>
  </w:p>
  <w:p w14:paraId="315A5439" w14:textId="77777777" w:rsidR="00260D55" w:rsidRDefault="00260D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E3B9" w14:textId="77777777" w:rsidR="007C7E9E" w:rsidRPr="0087224E" w:rsidRDefault="007C7E9E" w:rsidP="0087224E">
      <w:pPr>
        <w:spacing w:before="300"/>
        <w:rPr>
          <w:color w:val="4DA3AB" w:themeColor="accent1"/>
          <w:sz w:val="18"/>
          <w:szCs w:val="18"/>
        </w:rPr>
      </w:pPr>
      <w:r w:rsidRPr="0087224E">
        <w:rPr>
          <w:color w:val="4DA3AB" w:themeColor="accent1"/>
          <w:sz w:val="18"/>
          <w:szCs w:val="18"/>
        </w:rPr>
        <w:t>_____</w:t>
      </w:r>
    </w:p>
    <w:p w14:paraId="02B5FDE9" w14:textId="77777777" w:rsidR="007C7E9E" w:rsidRDefault="007C7E9E"/>
  </w:footnote>
  <w:footnote w:type="continuationSeparator" w:id="0">
    <w:p w14:paraId="4E924A03" w14:textId="77777777" w:rsidR="007C7E9E" w:rsidRDefault="007C7E9E" w:rsidP="00A66202">
      <w:pPr>
        <w:spacing w:before="0" w:after="0"/>
      </w:pPr>
      <w:r>
        <w:continuationSeparator/>
      </w:r>
    </w:p>
    <w:p w14:paraId="5D2E23FD" w14:textId="77777777" w:rsidR="007C7E9E" w:rsidRDefault="007C7E9E"/>
  </w:footnote>
  <w:footnote w:type="continuationNotice" w:id="1">
    <w:p w14:paraId="5D26B7B4" w14:textId="77777777" w:rsidR="007C7E9E" w:rsidRDefault="007C7E9E">
      <w:pPr>
        <w:spacing w:before="0" w:after="0" w:line="240" w:lineRule="auto"/>
      </w:pPr>
    </w:p>
  </w:footnote>
  <w:footnote w:id="2">
    <w:p w14:paraId="09304148" w14:textId="77777777" w:rsidR="00260D55" w:rsidRPr="008A3DEE" w:rsidRDefault="00260D55" w:rsidP="00B10611">
      <w:pPr>
        <w:pStyle w:val="FootnoteText"/>
      </w:pPr>
      <w:r w:rsidRPr="008A3DEE">
        <w:rPr>
          <w:rStyle w:val="FootnoteReference"/>
        </w:rPr>
        <w:footnoteRef/>
      </w:r>
      <w:r w:rsidRPr="008A3DEE">
        <w:t xml:space="preserve"> See </w:t>
      </w:r>
      <w:r>
        <w:t>Australian Bureau of Statistics</w:t>
      </w:r>
      <w:r w:rsidRPr="008A3DEE">
        <w:t>,</w:t>
      </w:r>
      <w:r>
        <w:t xml:space="preserve"> </w:t>
      </w:r>
      <w:hyperlink r:id="rId1" w:anchor="gender" w:history="1">
        <w:r w:rsidRPr="005B029E">
          <w:rPr>
            <w:rStyle w:val="Hyperlink"/>
          </w:rPr>
          <w:t>‘Gender’</w:t>
        </w:r>
      </w:hyperlink>
      <w:r>
        <w:t>,</w:t>
      </w:r>
      <w:r w:rsidRPr="008A3DEE">
        <w:t xml:space="preserve"> </w:t>
      </w:r>
      <w:r w:rsidRPr="73B4D69D">
        <w:rPr>
          <w:i/>
          <w:iCs/>
        </w:rPr>
        <w:t>Standard for Sex, Gender, Variations of Sex Characteristics and Sexual Orientation Variables</w:t>
      </w:r>
      <w:r>
        <w:t>, ABS, 2021, accessed 9 August 2024.</w:t>
      </w:r>
    </w:p>
  </w:footnote>
  <w:footnote w:id="3">
    <w:p w14:paraId="1B450CB3" w14:textId="77777777" w:rsidR="00260D55" w:rsidRPr="008A3DEE" w:rsidRDefault="00260D55" w:rsidP="00B10611">
      <w:pPr>
        <w:pStyle w:val="FootnoteText"/>
      </w:pPr>
      <w:r w:rsidRPr="008A3DEE">
        <w:rPr>
          <w:rStyle w:val="FootnoteReference"/>
        </w:rPr>
        <w:footnoteRef/>
      </w:r>
      <w:r w:rsidRPr="008A3DEE">
        <w:t xml:space="preserve"> See ABS, </w:t>
      </w:r>
      <w:hyperlink r:id="rId2" w:anchor="gender" w:history="1">
        <w:r w:rsidRPr="005B029E">
          <w:rPr>
            <w:rStyle w:val="Hyperlink"/>
          </w:rPr>
          <w:t>‘Gender’</w:t>
        </w:r>
      </w:hyperlink>
      <w:r>
        <w:t>,</w:t>
      </w:r>
      <w:r w:rsidRPr="008A3DEE">
        <w:t xml:space="preserve"> </w:t>
      </w:r>
      <w:r w:rsidRPr="73B4D69D">
        <w:rPr>
          <w:i/>
          <w:iCs/>
        </w:rPr>
        <w:t>Standard for Sex, Gender, Variations of Sex Characteristics and Sexual Orientation Variables</w:t>
      </w:r>
      <w:r>
        <w:t>.</w:t>
      </w:r>
    </w:p>
  </w:footnote>
  <w:footnote w:id="4">
    <w:p w14:paraId="1BB1B73B" w14:textId="2CDF0D61" w:rsidR="00260D55" w:rsidRPr="008A3DEE" w:rsidRDefault="00260D55">
      <w:pPr>
        <w:pStyle w:val="FootnoteText"/>
      </w:pPr>
      <w:r w:rsidRPr="008A3DEE">
        <w:rPr>
          <w:rStyle w:val="FootnoteReference"/>
        </w:rPr>
        <w:footnoteRef/>
      </w:r>
      <w:r w:rsidRPr="008A3DEE">
        <w:t xml:space="preserve"> Invitations to participate were sent to all APS agencies with at least 20 employees, employed under the </w:t>
      </w:r>
      <w:r w:rsidRPr="008A3DEE">
        <w:rPr>
          <w:i/>
        </w:rPr>
        <w:t>Public Service Act 1999</w:t>
      </w:r>
      <w:r w:rsidRPr="008A3DEE">
        <w:t>. The survey was open from January 2024, and received responses through to April 2024. It had a final response rate of 96%. A combination of quantitative and qualitative information was collected. See the Appendix for a copy of the survey’s questions.</w:t>
      </w:r>
    </w:p>
  </w:footnote>
  <w:footnote w:id="5">
    <w:p w14:paraId="679FC19E" w14:textId="33BE9915" w:rsidR="00260D55" w:rsidRPr="008A3DEE" w:rsidRDefault="00260D55">
      <w:pPr>
        <w:pStyle w:val="FootnoteText"/>
      </w:pPr>
      <w:r w:rsidRPr="008A3DEE">
        <w:rPr>
          <w:rStyle w:val="FootnoteReference"/>
        </w:rPr>
        <w:footnoteRef/>
      </w:r>
      <w:r w:rsidRPr="008A3DEE">
        <w:t xml:space="preserve"> Available at</w:t>
      </w:r>
      <w:r>
        <w:t xml:space="preserve"> Australian Public Service Commission, </w:t>
      </w:r>
      <w:hyperlink r:id="rId3" w:history="1">
        <w:r w:rsidRPr="005A4C55">
          <w:rPr>
            <w:rStyle w:val="Hyperlink"/>
            <w:i/>
          </w:rPr>
          <w:t>Research, analysis and publications</w:t>
        </w:r>
      </w:hyperlink>
      <w:r>
        <w:rPr>
          <w:i/>
        </w:rPr>
        <w:t xml:space="preserve">, </w:t>
      </w:r>
      <w:r>
        <w:t>APSC, 2020, accessed 8 August 2024.</w:t>
      </w:r>
    </w:p>
  </w:footnote>
  <w:footnote w:id="6">
    <w:p w14:paraId="0BE8394B" w14:textId="3665C92E" w:rsidR="00260D55" w:rsidRPr="008A3DEE" w:rsidRDefault="00260D55">
      <w:pPr>
        <w:pStyle w:val="FootnoteText"/>
      </w:pPr>
      <w:r w:rsidRPr="008A3DEE">
        <w:rPr>
          <w:rStyle w:val="FootnoteReference"/>
        </w:rPr>
        <w:footnoteRef/>
      </w:r>
      <w:r w:rsidRPr="008A3DEE">
        <w:t xml:space="preserve"> No data is available for 2021.</w:t>
      </w:r>
    </w:p>
  </w:footnote>
  <w:footnote w:id="7">
    <w:p w14:paraId="4A8DC0A8" w14:textId="7DB33DC4" w:rsidR="00260D55" w:rsidRPr="008A3DEE" w:rsidRDefault="00260D55">
      <w:pPr>
        <w:pStyle w:val="FootnoteText"/>
      </w:pPr>
      <w:r w:rsidRPr="008A3DEE">
        <w:rPr>
          <w:rStyle w:val="FootnoteReference"/>
        </w:rPr>
        <w:footnoteRef/>
      </w:r>
      <w:r w:rsidRPr="008A3DEE">
        <w:t xml:space="preserve"> Harassment is offensive, belittling, or threatening behaviour directed at an individual or group. The behaviour is unwelcome, unsolicited, usually unreciprocated and usually, but not always, repeated. Bullying is when an individual or group of individuals repeatedly behave unreasonably towards a worker, or group of workers of which the worker is a member, and that behaviour creates a risk to health and safety. Note that reasonable management actions carried out in a reasonable way do not constitute harassment nor bullying.</w:t>
      </w:r>
    </w:p>
  </w:footnote>
  <w:footnote w:id="8">
    <w:p w14:paraId="5C323F2E" w14:textId="23811580" w:rsidR="00260D55" w:rsidRPr="008A3DEE" w:rsidRDefault="00260D55">
      <w:pPr>
        <w:pStyle w:val="FootnoteText"/>
      </w:pPr>
      <w:r w:rsidRPr="008A3DEE">
        <w:rPr>
          <w:rStyle w:val="FootnoteReference"/>
        </w:rPr>
        <w:footnoteRef/>
      </w:r>
      <w:r w:rsidRPr="008A3DEE">
        <w:t xml:space="preserve"> Rates of perceived harassment and bullying experienced in the 12 months preceding the specified collection year (usually collected mid-year). </w:t>
      </w:r>
    </w:p>
  </w:footnote>
  <w:footnote w:id="9">
    <w:p w14:paraId="418B426C" w14:textId="610D2982" w:rsidR="00260D55" w:rsidRPr="008A3DEE" w:rsidRDefault="00260D55" w:rsidP="007F3B7C">
      <w:pPr>
        <w:pStyle w:val="FootnoteText"/>
      </w:pPr>
      <w:r w:rsidRPr="008A3DEE">
        <w:rPr>
          <w:rStyle w:val="FootnoteReference"/>
        </w:rPr>
        <w:footnoteRef/>
      </w:r>
      <w:r w:rsidRPr="008A3DEE">
        <w:t xml:space="preserve"> Safe Work Australia, </w:t>
      </w:r>
      <w:hyperlink r:id="rId4" w:history="1">
        <w:r w:rsidRPr="00D95E17">
          <w:rPr>
            <w:rStyle w:val="Hyperlink"/>
            <w:i/>
          </w:rPr>
          <w:t>Psychosocial health and safety and bullying in Australian workplaces (6</w:t>
        </w:r>
        <w:r w:rsidRPr="00D95E17">
          <w:rPr>
            <w:rStyle w:val="Hyperlink"/>
            <w:i/>
            <w:vertAlign w:val="superscript"/>
          </w:rPr>
          <w:t>th</w:t>
        </w:r>
        <w:r w:rsidRPr="00D95E17">
          <w:rPr>
            <w:rStyle w:val="Hyperlink"/>
            <w:i/>
          </w:rPr>
          <w:t xml:space="preserve"> edition)</w:t>
        </w:r>
      </w:hyperlink>
      <w:r w:rsidRPr="008A3DEE">
        <w:rPr>
          <w:i/>
        </w:rPr>
        <w:t>,</w:t>
      </w:r>
      <w:r>
        <w:rPr>
          <w:i/>
        </w:rPr>
        <w:t xml:space="preserve"> </w:t>
      </w:r>
      <w:r w:rsidRPr="008A3DEE">
        <w:t xml:space="preserve">Safe Work Australia, </w:t>
      </w:r>
      <w:r>
        <w:t>2021, accessed 8 August 2024.</w:t>
      </w:r>
    </w:p>
  </w:footnote>
  <w:footnote w:id="10">
    <w:p w14:paraId="77F97978" w14:textId="1120308D" w:rsidR="00260D55" w:rsidRPr="008A3DEE" w:rsidRDefault="00260D55">
      <w:pPr>
        <w:pStyle w:val="FootnoteText"/>
      </w:pPr>
      <w:r w:rsidRPr="008A3DEE">
        <w:rPr>
          <w:rStyle w:val="FootnoteReference"/>
        </w:rPr>
        <w:footnoteRef/>
      </w:r>
      <w:r w:rsidRPr="008A3DEE">
        <w:t xml:space="preserve"> Discrimination happens when a person, or a group of people, are treated less favourably than another person or group because of their background or certain personal characteristics. It is also discrimination when an unreasonable rule or policy applies to everyone but has the effect of disadvantaging some people because of a personal characteristic they share.</w:t>
      </w:r>
    </w:p>
  </w:footnote>
  <w:footnote w:id="11">
    <w:p w14:paraId="64A31839" w14:textId="0A63E7DD" w:rsidR="00260D55" w:rsidRPr="008A3DEE" w:rsidRDefault="00260D55">
      <w:pPr>
        <w:pStyle w:val="FootnoteText"/>
      </w:pPr>
      <w:r w:rsidRPr="008A3DEE">
        <w:rPr>
          <w:rStyle w:val="FootnoteReference"/>
        </w:rPr>
        <w:footnoteRef/>
      </w:r>
      <w:r w:rsidRPr="008A3DEE">
        <w:t xml:space="preserve"> </w:t>
      </w:r>
      <w:r>
        <w:t>WGEA (</w:t>
      </w:r>
      <w:r w:rsidRPr="008A3DEE">
        <w:t>Workforce Gender Equality Agency</w:t>
      </w:r>
      <w:r>
        <w:t xml:space="preserve">), </w:t>
      </w:r>
      <w:hyperlink r:id="rId5" w:history="1">
        <w:r>
          <w:rPr>
            <w:rStyle w:val="Hyperlink"/>
            <w:i/>
          </w:rPr>
          <w:t>2022 C</w:t>
        </w:r>
        <w:r w:rsidRPr="00097C8E">
          <w:rPr>
            <w:rStyle w:val="Hyperlink"/>
            <w:i/>
          </w:rPr>
          <w:t>ommonwealth Public Sector Gender Equality Snapshot</w:t>
        </w:r>
      </w:hyperlink>
      <w:r w:rsidRPr="008A3DEE">
        <w:t xml:space="preserve">, </w:t>
      </w:r>
      <w:r>
        <w:t>WGEA</w:t>
      </w:r>
      <w:r w:rsidRPr="008A3DEE">
        <w:t>,</w:t>
      </w:r>
      <w:r>
        <w:t xml:space="preserve"> Australian Government, 2023, </w:t>
      </w:r>
      <w:r w:rsidRPr="008A3DEE">
        <w:t>accessed 31 May 2024. The Snapshot represents 132,551 employees from 40 APS agencies (agencies who employee staff under the Public Service Act) and 12 non-APS agencies.</w:t>
      </w:r>
    </w:p>
  </w:footnote>
  <w:footnote w:id="12">
    <w:p w14:paraId="72066C0C" w14:textId="68ACF0F1" w:rsidR="00260D55" w:rsidRPr="008A3DEE" w:rsidRDefault="00260D55">
      <w:pPr>
        <w:pStyle w:val="FootnoteText"/>
      </w:pPr>
      <w:r w:rsidRPr="008A3DEE">
        <w:rPr>
          <w:rStyle w:val="FootnoteReference"/>
        </w:rPr>
        <w:footnoteRef/>
      </w:r>
      <w:r w:rsidRPr="008A3DEE">
        <w:t xml:space="preserve"> </w:t>
      </w:r>
      <w:r w:rsidRPr="007773E6">
        <w:t>Commonwealth Superannuation Corporation data</w:t>
      </w:r>
      <w:r>
        <w:t xml:space="preserve">, cited in APSC (Australian Public Service Commission), </w:t>
      </w:r>
      <w:hyperlink r:id="rId6" w:history="1">
        <w:r w:rsidRPr="00924D4B">
          <w:rPr>
            <w:rStyle w:val="Hyperlink"/>
            <w:i/>
          </w:rPr>
          <w:t>Australian Public Service Gender Equality Strategy 2021-26</w:t>
        </w:r>
      </w:hyperlink>
      <w:r>
        <w:rPr>
          <w:i/>
        </w:rPr>
        <w:t xml:space="preserve">, </w:t>
      </w:r>
      <w:r>
        <w:t>APSC, Australian Government, 2021, p 16.</w:t>
      </w:r>
    </w:p>
  </w:footnote>
  <w:footnote w:id="13">
    <w:p w14:paraId="1B58AB59" w14:textId="5AACE310" w:rsidR="00260D55" w:rsidRPr="008A3DEE" w:rsidRDefault="00260D55" w:rsidP="007D4E8D">
      <w:pPr>
        <w:pStyle w:val="FootnoteText"/>
      </w:pPr>
      <w:r w:rsidRPr="008A3DEE">
        <w:rPr>
          <w:rStyle w:val="FootnoteReference"/>
        </w:rPr>
        <w:footnoteRef/>
      </w:r>
      <w:r w:rsidRPr="008A3DEE">
        <w:t xml:space="preserve"> </w:t>
      </w:r>
      <w:r w:rsidRPr="007773E6">
        <w:t>Commonwealth Superannuation Corporation</w:t>
      </w:r>
      <w:r>
        <w:t xml:space="preserve"> data.</w:t>
      </w:r>
      <w:r w:rsidRPr="008A3DEE">
        <w:t xml:space="preserve"> </w:t>
      </w:r>
    </w:p>
  </w:footnote>
  <w:footnote w:id="14">
    <w:p w14:paraId="667FF024" w14:textId="169AD7C0" w:rsidR="00260D55" w:rsidRDefault="00260D55">
      <w:pPr>
        <w:pStyle w:val="FootnoteText"/>
      </w:pPr>
      <w:r>
        <w:rPr>
          <w:rStyle w:val="FootnoteReference"/>
        </w:rPr>
        <w:footnoteRef/>
      </w:r>
      <w:r>
        <w:t xml:space="preserve"> </w:t>
      </w:r>
      <w:r w:rsidRPr="003A0B5C">
        <w:t>CPSU What Women Want Report 2019–20</w:t>
      </w:r>
      <w:r>
        <w:t xml:space="preserve">, cited in APSC (Australian Public Service Commission), </w:t>
      </w:r>
      <w:hyperlink r:id="rId7" w:history="1">
        <w:r w:rsidRPr="00924D4B">
          <w:rPr>
            <w:rStyle w:val="Hyperlink"/>
            <w:i/>
          </w:rPr>
          <w:t>Australian Public Service Gender Equality Strategy 2021-26</w:t>
        </w:r>
      </w:hyperlink>
      <w:r>
        <w:rPr>
          <w:i/>
        </w:rPr>
        <w:t xml:space="preserve">, </w:t>
      </w:r>
      <w:r>
        <w:t>APSC, Australian Government, 2021, p 16.</w:t>
      </w:r>
    </w:p>
  </w:footnote>
  <w:footnote w:id="15">
    <w:p w14:paraId="5D85BFE8" w14:textId="4AAF2351" w:rsidR="00260D55" w:rsidRPr="008A3DEE" w:rsidRDefault="00260D55" w:rsidP="007F3B7C">
      <w:pPr>
        <w:pStyle w:val="FootnoteText"/>
      </w:pPr>
      <w:r w:rsidRPr="008A3DEE">
        <w:rPr>
          <w:rStyle w:val="FootnoteReference"/>
        </w:rPr>
        <w:footnoteRef/>
      </w:r>
      <w:r w:rsidRPr="008A3DEE">
        <w:t xml:space="preserve"> </w:t>
      </w:r>
      <w:r>
        <w:t xml:space="preserve">WGEA, </w:t>
      </w:r>
      <w:hyperlink r:id="rId8" w:history="1">
        <w:r w:rsidRPr="00097C8E">
          <w:rPr>
            <w:rStyle w:val="Hyperlink"/>
            <w:i/>
          </w:rPr>
          <w:t>Commonwealth Public Sector Gender Equality Snapshot 2022</w:t>
        </w:r>
      </w:hyperlink>
      <w:r>
        <w:rPr>
          <w:i/>
        </w:rPr>
        <w:t>.</w:t>
      </w:r>
    </w:p>
  </w:footnote>
  <w:footnote w:id="16">
    <w:p w14:paraId="17B14EAD" w14:textId="6D7CD106" w:rsidR="00260D55" w:rsidRPr="008A3DEE" w:rsidRDefault="00260D55" w:rsidP="006A7745">
      <w:pPr>
        <w:pStyle w:val="FootnoteText"/>
      </w:pPr>
      <w:r w:rsidRPr="008A3DEE">
        <w:rPr>
          <w:rStyle w:val="FootnoteReference"/>
        </w:rPr>
        <w:footnoteRef/>
      </w:r>
      <w:r w:rsidRPr="008A3DEE">
        <w:t xml:space="preserve"> </w:t>
      </w:r>
      <w:r>
        <w:t xml:space="preserve">WGEA, </w:t>
      </w:r>
      <w:hyperlink r:id="rId9" w:history="1">
        <w:r w:rsidRPr="00097C8E">
          <w:rPr>
            <w:rStyle w:val="Hyperlink"/>
            <w:i/>
          </w:rPr>
          <w:t>Commonwealth Public Sector Gender Equality Snapshot 2022</w:t>
        </w:r>
      </w:hyperlink>
      <w:r>
        <w:rPr>
          <w:i/>
        </w:rPr>
        <w:t>.</w:t>
      </w:r>
    </w:p>
  </w:footnote>
  <w:footnote w:id="17">
    <w:p w14:paraId="58FF2682" w14:textId="7FE33C6D" w:rsidR="00260D55" w:rsidRPr="008A3DEE" w:rsidRDefault="00260D55" w:rsidP="00BB7DA6">
      <w:pPr>
        <w:pStyle w:val="FootnoteText"/>
      </w:pPr>
      <w:r w:rsidRPr="008A3DEE">
        <w:rPr>
          <w:rStyle w:val="FootnoteReference"/>
        </w:rPr>
        <w:footnoteRef/>
      </w:r>
      <w:r w:rsidRPr="008A3DEE">
        <w:t xml:space="preserve"> Not 14 percentage points, as suggested in </w:t>
      </w:r>
      <w:r>
        <w:t>Figure 16</w:t>
      </w:r>
      <w:r w:rsidRPr="008A3DEE">
        <w:t>, due to rounding.</w:t>
      </w:r>
    </w:p>
  </w:footnote>
  <w:footnote w:id="18">
    <w:p w14:paraId="03A0AE3F" w14:textId="3BAF49DB" w:rsidR="00260D55" w:rsidRPr="008A3DEE" w:rsidRDefault="00260D55" w:rsidP="006A7745">
      <w:pPr>
        <w:rPr>
          <w:szCs w:val="20"/>
        </w:rPr>
      </w:pPr>
      <w:r w:rsidRPr="008A3DEE">
        <w:rPr>
          <w:rStyle w:val="FootnoteReference"/>
          <w:szCs w:val="20"/>
        </w:rPr>
        <w:footnoteRef/>
      </w:r>
      <w:r w:rsidRPr="008A3DEE">
        <w:rPr>
          <w:szCs w:val="20"/>
        </w:rPr>
        <w:t xml:space="preserve"> </w:t>
      </w:r>
      <w:r>
        <w:rPr>
          <w:szCs w:val="20"/>
        </w:rPr>
        <w:t xml:space="preserve">Diversity Council of Australia, </w:t>
      </w:r>
      <w:hyperlink r:id="rId10" w:history="1">
        <w:proofErr w:type="spellStart"/>
        <w:r w:rsidRPr="00F70BF2">
          <w:rPr>
            <w:rStyle w:val="Hyperlink"/>
            <w:i/>
            <w:szCs w:val="20"/>
          </w:rPr>
          <w:t>Inclusion@Work</w:t>
        </w:r>
        <w:proofErr w:type="spellEnd"/>
        <w:r w:rsidRPr="00F70BF2">
          <w:rPr>
            <w:rStyle w:val="Hyperlink"/>
            <w:i/>
            <w:szCs w:val="20"/>
          </w:rPr>
          <w:t xml:space="preserve"> Index 2023–2024: Mapping the State of Inclusion in the Australian Workforce </w:t>
        </w:r>
        <w:r w:rsidRPr="00F70BF2">
          <w:rPr>
            <w:rStyle w:val="Hyperlink"/>
            <w:rFonts w:asciiTheme="majorHAnsi" w:hAnsiTheme="majorHAnsi" w:cstheme="majorHAnsi"/>
            <w:i/>
            <w:szCs w:val="20"/>
          </w:rPr>
          <w:t>Synopsis Report</w:t>
        </w:r>
      </w:hyperlink>
      <w:r w:rsidRPr="008A3DEE">
        <w:rPr>
          <w:rFonts w:asciiTheme="majorHAnsi" w:hAnsiTheme="majorHAnsi" w:cstheme="majorHAnsi"/>
          <w:color w:val="auto"/>
          <w:szCs w:val="20"/>
        </w:rPr>
        <w:t xml:space="preserve">, </w:t>
      </w:r>
      <w:r>
        <w:rPr>
          <w:szCs w:val="20"/>
        </w:rPr>
        <w:t>DCA, 2024</w:t>
      </w:r>
      <w:r w:rsidRPr="008A3DEE">
        <w:rPr>
          <w:szCs w:val="20"/>
        </w:rPr>
        <w:t>, accessed 22 May 2024.</w:t>
      </w:r>
    </w:p>
  </w:footnote>
  <w:footnote w:id="19">
    <w:p w14:paraId="19AA0FC6" w14:textId="70E6CEC2" w:rsidR="00260D55" w:rsidRPr="008A3DEE" w:rsidRDefault="00260D55" w:rsidP="001142CB">
      <w:pPr>
        <w:pStyle w:val="FootnoteText"/>
      </w:pPr>
      <w:r w:rsidRPr="008A3DEE">
        <w:rPr>
          <w:rStyle w:val="FootnoteReference"/>
        </w:rPr>
        <w:footnoteRef/>
      </w:r>
      <w:r w:rsidRPr="008A3DEE">
        <w:t xml:space="preserve"> </w:t>
      </w:r>
      <w:r>
        <w:t xml:space="preserve">WGEA, </w:t>
      </w:r>
      <w:hyperlink r:id="rId11" w:history="1">
        <w:r w:rsidRPr="00097C8E">
          <w:rPr>
            <w:rStyle w:val="Hyperlink"/>
            <w:i/>
          </w:rPr>
          <w:t>Commonwealth Public Sector Gender Equality Snapshot 2022</w:t>
        </w:r>
      </w:hyperlink>
      <w:r>
        <w:rPr>
          <w:i/>
        </w:rPr>
        <w:t>.</w:t>
      </w:r>
    </w:p>
  </w:footnote>
  <w:footnote w:id="20">
    <w:p w14:paraId="64C88CE8" w14:textId="4F020AC0" w:rsidR="00260D55" w:rsidRPr="008A3DEE" w:rsidRDefault="00260D55" w:rsidP="002E798A">
      <w:pPr>
        <w:pStyle w:val="FootnoteText"/>
      </w:pPr>
      <w:r w:rsidRPr="008A3DEE">
        <w:rPr>
          <w:rStyle w:val="FootnoteReference"/>
        </w:rPr>
        <w:footnoteRef/>
      </w:r>
      <w:r w:rsidRPr="008A3DEE">
        <w:t xml:space="preserve"> </w:t>
      </w:r>
      <w:r>
        <w:t xml:space="preserve">WGEA, </w:t>
      </w:r>
      <w:hyperlink r:id="rId12" w:history="1">
        <w:r w:rsidRPr="00097C8E">
          <w:rPr>
            <w:rStyle w:val="Hyperlink"/>
            <w:i/>
          </w:rPr>
          <w:t>Commonwealth Public Sector Gender Equality Snapshot 2022</w:t>
        </w:r>
      </w:hyperlink>
      <w:r>
        <w:rPr>
          <w:i/>
        </w:rPr>
        <w:t>.</w:t>
      </w:r>
    </w:p>
  </w:footnote>
  <w:footnote w:id="21">
    <w:p w14:paraId="44B1CD17" w14:textId="28F2D279" w:rsidR="00260D55" w:rsidRPr="008A3DEE" w:rsidRDefault="00260D55" w:rsidP="00A610E0">
      <w:pPr>
        <w:pStyle w:val="FootnoteText"/>
      </w:pPr>
      <w:r w:rsidRPr="008A3DEE">
        <w:rPr>
          <w:rStyle w:val="FootnoteReference"/>
        </w:rPr>
        <w:footnoteRef/>
      </w:r>
      <w:r w:rsidRPr="008A3DEE">
        <w:t xml:space="preserve"> Remuneration data on employees who use a different gender term is not collected.</w:t>
      </w:r>
    </w:p>
  </w:footnote>
  <w:footnote w:id="22">
    <w:p w14:paraId="57A3F429" w14:textId="4138AF0B" w:rsidR="00260D55" w:rsidRPr="008A3DEE" w:rsidRDefault="00260D55">
      <w:pPr>
        <w:pStyle w:val="FootnoteText"/>
      </w:pPr>
      <w:r w:rsidRPr="008A3DEE">
        <w:rPr>
          <w:rStyle w:val="FootnoteReference"/>
        </w:rPr>
        <w:footnoteRef/>
      </w:r>
      <w:r w:rsidRPr="008A3DEE">
        <w:t xml:space="preserve"> </w:t>
      </w:r>
      <w:r>
        <w:t xml:space="preserve">WGEA, </w:t>
      </w:r>
      <w:hyperlink r:id="rId13" w:history="1">
        <w:r w:rsidRPr="00922E57">
          <w:rPr>
            <w:rStyle w:val="Hyperlink"/>
            <w:i/>
          </w:rPr>
          <w:t>The ABS data gender pay gap</w:t>
        </w:r>
      </w:hyperlink>
      <w:r>
        <w:t xml:space="preserve">, WGEA website, </w:t>
      </w:r>
      <w:proofErr w:type="spellStart"/>
      <w:r>
        <w:t>n.d.</w:t>
      </w:r>
      <w:proofErr w:type="spellEnd"/>
      <w:r>
        <w:t>, accessed 31 May 2024.</w:t>
      </w:r>
    </w:p>
  </w:footnote>
  <w:footnote w:id="23">
    <w:p w14:paraId="771A1712" w14:textId="30326F29" w:rsidR="00260D55" w:rsidRPr="008A3DEE" w:rsidRDefault="00260D55" w:rsidP="00F57271">
      <w:pPr>
        <w:pStyle w:val="FootnoteText"/>
      </w:pPr>
      <w:r w:rsidRPr="008A3DEE">
        <w:rPr>
          <w:rStyle w:val="FootnoteReference"/>
        </w:rPr>
        <w:footnoteRef/>
      </w:r>
      <w:r>
        <w:t xml:space="preserve"> WGEA, </w:t>
      </w:r>
      <w:hyperlink r:id="rId14" w:history="1">
        <w:r w:rsidRPr="00097C8E">
          <w:rPr>
            <w:rStyle w:val="Hyperlink"/>
            <w:i/>
          </w:rPr>
          <w:t>Commonwealth Public Sector Gender Equality Snapshot 2022</w:t>
        </w:r>
      </w:hyperlink>
      <w:r>
        <w:rPr>
          <w:i/>
        </w:rPr>
        <w:t>.</w:t>
      </w:r>
    </w:p>
  </w:footnote>
  <w:footnote w:id="24">
    <w:p w14:paraId="23641DC7" w14:textId="77777777" w:rsidR="00260D55" w:rsidRPr="008A3DEE" w:rsidRDefault="00260D55" w:rsidP="00AE73CA">
      <w:pPr>
        <w:pStyle w:val="FootnoteText"/>
      </w:pPr>
      <w:r w:rsidRPr="008A3DEE">
        <w:rPr>
          <w:rStyle w:val="FootnoteReference"/>
        </w:rPr>
        <w:footnoteRef/>
      </w:r>
      <w:r>
        <w:t xml:space="preserve"> WGEA, </w:t>
      </w:r>
      <w:hyperlink r:id="rId15" w:history="1">
        <w:r w:rsidRPr="00097C8E">
          <w:rPr>
            <w:rStyle w:val="Hyperlink"/>
            <w:i/>
          </w:rPr>
          <w:t>Commonwealth Public Sector Gender Equality Snapshot 2022</w:t>
        </w:r>
      </w:hyperlink>
      <w:r>
        <w:rPr>
          <w:i/>
        </w:rPr>
        <w:t>.</w:t>
      </w:r>
    </w:p>
  </w:footnote>
  <w:footnote w:id="25">
    <w:p w14:paraId="195BCCE7" w14:textId="51AD19CF" w:rsidR="00260D55" w:rsidRDefault="00260D55">
      <w:pPr>
        <w:pStyle w:val="FootnoteText"/>
      </w:pPr>
      <w:r>
        <w:rPr>
          <w:rStyle w:val="FootnoteReference"/>
        </w:rPr>
        <w:footnoteRef/>
      </w:r>
      <w:r>
        <w:t xml:space="preserve"> WGEA, </w:t>
      </w:r>
      <w:hyperlink r:id="rId16" w:history="1">
        <w:r w:rsidRPr="00097C8E">
          <w:rPr>
            <w:rStyle w:val="Hyperlink"/>
            <w:i/>
          </w:rPr>
          <w:t>Commonwealth Public Sector Gender Equality Snapshot 2022</w:t>
        </w:r>
      </w:hyperlink>
      <w:r>
        <w:rPr>
          <w:i/>
        </w:rPr>
        <w:t>.</w:t>
      </w:r>
    </w:p>
  </w:footnote>
  <w:footnote w:id="26">
    <w:p w14:paraId="418AF5BE" w14:textId="7723647D" w:rsidR="00260D55" w:rsidRDefault="00260D55">
      <w:pPr>
        <w:pStyle w:val="FootnoteText"/>
      </w:pPr>
      <w:r>
        <w:rPr>
          <w:rStyle w:val="FootnoteReference"/>
        </w:rPr>
        <w:footnoteRef/>
      </w:r>
      <w:r>
        <w:t xml:space="preserve"> WGEA, </w:t>
      </w:r>
      <w:hyperlink r:id="rId17" w:history="1">
        <w:r w:rsidRPr="00097C8E">
          <w:rPr>
            <w:rStyle w:val="Hyperlink"/>
            <w:i/>
          </w:rPr>
          <w:t>Commonwealth Public Sector Gender Equality Snapshot 2022</w:t>
        </w:r>
      </w:hyperlink>
      <w:r>
        <w:rPr>
          <w:i/>
        </w:rPr>
        <w:t>.</w:t>
      </w:r>
    </w:p>
  </w:footnote>
  <w:footnote w:id="27">
    <w:p w14:paraId="1A12236B" w14:textId="5B6626C8" w:rsidR="00260D55" w:rsidRDefault="00260D55">
      <w:pPr>
        <w:pStyle w:val="FootnoteText"/>
      </w:pPr>
      <w:r>
        <w:rPr>
          <w:rStyle w:val="FootnoteReference"/>
        </w:rPr>
        <w:footnoteRef/>
      </w:r>
      <w:r>
        <w:t xml:space="preserve"> WGEA, </w:t>
      </w:r>
      <w:hyperlink r:id="rId18" w:history="1">
        <w:r w:rsidRPr="00097C8E">
          <w:rPr>
            <w:rStyle w:val="Hyperlink"/>
            <w:i/>
          </w:rPr>
          <w:t>Commonwealth Public Sector Gender Equality Snapshot 2022</w:t>
        </w:r>
      </w:hyperlink>
      <w:r>
        <w:rPr>
          <w:i/>
        </w:rPr>
        <w:t>.</w:t>
      </w:r>
    </w:p>
  </w:footnote>
  <w:footnote w:id="28">
    <w:p w14:paraId="0CA1AE2A" w14:textId="35A5F3F5" w:rsidR="00260D55" w:rsidRPr="008A3DEE" w:rsidRDefault="00260D55">
      <w:pPr>
        <w:pStyle w:val="FootnoteText"/>
      </w:pPr>
      <w:r w:rsidRPr="008A3DEE">
        <w:rPr>
          <w:rStyle w:val="FootnoteReference"/>
        </w:rPr>
        <w:footnoteRef/>
      </w:r>
      <w:r w:rsidRPr="008A3DEE">
        <w:t xml:space="preserve"> Equal gender representation for non-binary employees is difficult to present in this figure because they comprise less than half a percent of the total APS workforce. Nonetheless, 87% of non-binary employees are at the APS1–6 levels, 10% are at the EL and SES levels, and 3% are at </w:t>
      </w:r>
      <w:r>
        <w:t>the Trainee and Graduate levels, based on APSED December 2023 data.</w:t>
      </w:r>
    </w:p>
  </w:footnote>
  <w:footnote w:id="29">
    <w:p w14:paraId="64C7C48C" w14:textId="63925748" w:rsidR="00260D55" w:rsidRPr="008A3DEE" w:rsidRDefault="00260D55">
      <w:pPr>
        <w:pStyle w:val="FootnoteText"/>
      </w:pPr>
      <w:r w:rsidRPr="008A3DEE">
        <w:rPr>
          <w:rStyle w:val="FootnoteReference"/>
        </w:rPr>
        <w:footnoteRef/>
      </w:r>
      <w:r>
        <w:t xml:space="preserve"> A</w:t>
      </w:r>
      <w:r w:rsidRPr="008A3DEE">
        <w:t xml:space="preserve">PSC, </w:t>
      </w:r>
      <w:hyperlink r:id="rId19" w:history="1">
        <w:r w:rsidRPr="008A3DEE">
          <w:rPr>
            <w:rStyle w:val="Hyperlink"/>
          </w:rPr>
          <w:t>‘2.3 Gender equality’</w:t>
        </w:r>
      </w:hyperlink>
      <w:r w:rsidRPr="008A3DEE">
        <w:t xml:space="preserve">, </w:t>
      </w:r>
      <w:r w:rsidRPr="008A3DEE">
        <w:rPr>
          <w:i/>
        </w:rPr>
        <w:t>State of the Service Report 2021-22,</w:t>
      </w:r>
      <w:r>
        <w:rPr>
          <w:i/>
        </w:rPr>
        <w:t xml:space="preserve"> </w:t>
      </w:r>
      <w:r>
        <w:t xml:space="preserve">APSC, Australian Government, </w:t>
      </w:r>
      <w:r w:rsidRPr="008A3DEE">
        <w:t>2022, accessed 7 August 2024</w:t>
      </w:r>
      <w:r>
        <w:t>.</w:t>
      </w:r>
    </w:p>
  </w:footnote>
  <w:footnote w:id="30">
    <w:p w14:paraId="351FE7F4" w14:textId="11B894ED" w:rsidR="00260D55" w:rsidRPr="008A3DEE" w:rsidRDefault="00260D55">
      <w:pPr>
        <w:pStyle w:val="FootnoteText"/>
        <w:rPr>
          <w:i/>
        </w:rPr>
      </w:pPr>
      <w:r w:rsidRPr="008A3DEE">
        <w:rPr>
          <w:rStyle w:val="FootnoteReference"/>
        </w:rPr>
        <w:footnoteRef/>
      </w:r>
      <w:r w:rsidRPr="008A3DEE">
        <w:t xml:space="preserve"> </w:t>
      </w:r>
      <w:r>
        <w:t xml:space="preserve">R </w:t>
      </w:r>
      <w:proofErr w:type="spellStart"/>
      <w:r>
        <w:t>Breunig</w:t>
      </w:r>
      <w:proofErr w:type="spellEnd"/>
      <w:r>
        <w:t xml:space="preserve">, D </w:t>
      </w:r>
      <w:proofErr w:type="spellStart"/>
      <w:r>
        <w:t>Hansell</w:t>
      </w:r>
      <w:proofErr w:type="spellEnd"/>
      <w:r>
        <w:t xml:space="preserve">, and N </w:t>
      </w:r>
      <w:proofErr w:type="spellStart"/>
      <w:r>
        <w:t>N</w:t>
      </w:r>
      <w:proofErr w:type="spellEnd"/>
      <w:r>
        <w:t xml:space="preserve"> Win, </w:t>
      </w:r>
      <w:hyperlink r:id="rId20" w:history="1">
        <w:r w:rsidRPr="008F5B17">
          <w:rPr>
            <w:rStyle w:val="Hyperlink"/>
          </w:rPr>
          <w:t>‘</w:t>
        </w:r>
        <w:r>
          <w:rPr>
            <w:rStyle w:val="Hyperlink"/>
          </w:rPr>
          <w:t>Promotion in the Australian Public Service: Improvements for women and stagnation for cultural and linguistic minorities</w:t>
        </w:r>
        <w:r w:rsidRPr="008F5B17">
          <w:rPr>
            <w:rStyle w:val="Hyperlink"/>
          </w:rPr>
          <w:t>’</w:t>
        </w:r>
      </w:hyperlink>
      <w:r w:rsidRPr="008F5B17">
        <w:t>,</w:t>
      </w:r>
      <w:r>
        <w:t xml:space="preserve"> </w:t>
      </w:r>
      <w:r w:rsidRPr="008F5B17">
        <w:rPr>
          <w:i/>
        </w:rPr>
        <w:t>Tax and Transfer Policy Institute</w:t>
      </w:r>
      <w:r>
        <w:rPr>
          <w:i/>
        </w:rPr>
        <w:t xml:space="preserve"> </w:t>
      </w:r>
      <w:r w:rsidRPr="00E17AE8">
        <w:rPr>
          <w:i/>
        </w:rPr>
        <w:t>Working Paper</w:t>
      </w:r>
      <w:r>
        <w:t xml:space="preserve"> </w:t>
      </w:r>
      <w:r w:rsidRPr="00E17AE8">
        <w:rPr>
          <w:i/>
        </w:rPr>
        <w:t>1/2024</w:t>
      </w:r>
      <w:r>
        <w:t>, January 2024, accessed 8 August 2024.</w:t>
      </w:r>
    </w:p>
  </w:footnote>
  <w:footnote w:id="31">
    <w:p w14:paraId="3CD2ACF8" w14:textId="30B2C615" w:rsidR="00260D55" w:rsidRPr="008A3DEE" w:rsidRDefault="00260D55">
      <w:pPr>
        <w:pStyle w:val="FootnoteText"/>
      </w:pPr>
      <w:r w:rsidRPr="008A3DEE">
        <w:rPr>
          <w:rStyle w:val="FootnoteReference"/>
        </w:rPr>
        <w:footnoteRef/>
      </w:r>
      <w:r>
        <w:t xml:space="preserve"> APSC, </w:t>
      </w:r>
      <w:hyperlink r:id="rId21" w:anchor="downloads" w:history="1">
        <w:r w:rsidRPr="00B75C70">
          <w:rPr>
            <w:rStyle w:val="Hyperlink"/>
            <w:i/>
          </w:rPr>
          <w:t>Australian Public Service Report Remuneration Report 2021</w:t>
        </w:r>
      </w:hyperlink>
      <w:r w:rsidRPr="00B75C70">
        <w:rPr>
          <w:i/>
        </w:rPr>
        <w:t>,</w:t>
      </w:r>
      <w:r w:rsidRPr="00B75C70">
        <w:t xml:space="preserve"> </w:t>
      </w:r>
      <w:r>
        <w:t>APSC, Australian Government, 2022, accessed 8 August 2024.</w:t>
      </w:r>
      <w:r>
        <w:rPr>
          <w:rStyle w:val="Hyperlink"/>
        </w:rPr>
        <w:t xml:space="preserve"> </w:t>
      </w:r>
    </w:p>
  </w:footnote>
  <w:footnote w:id="32">
    <w:p w14:paraId="27511447" w14:textId="7EF8B2BB" w:rsidR="00260D55" w:rsidRPr="008A3DEE" w:rsidRDefault="00260D55">
      <w:pPr>
        <w:pStyle w:val="FootnoteText"/>
      </w:pPr>
      <w:r w:rsidRPr="008A3DEE">
        <w:rPr>
          <w:rStyle w:val="FootnoteReference"/>
        </w:rPr>
        <w:footnoteRef/>
      </w:r>
      <w:r w:rsidRPr="008A3DEE">
        <w:t xml:space="preserve"> See</w:t>
      </w:r>
      <w:r>
        <w:t xml:space="preserve"> </w:t>
      </w:r>
      <w:r w:rsidRPr="008A3DEE">
        <w:t xml:space="preserve">APSC, </w:t>
      </w:r>
      <w:hyperlink r:id="rId22" w:anchor="diversity-and-inclusion" w:history="1">
        <w:r w:rsidRPr="008A3DEE">
          <w:rPr>
            <w:rStyle w:val="Hyperlink"/>
          </w:rPr>
          <w:t>‘Chapter 3: Your APS’</w:t>
        </w:r>
      </w:hyperlink>
      <w:r w:rsidRPr="008A3DEE">
        <w:t xml:space="preserve">, </w:t>
      </w:r>
      <w:r w:rsidRPr="008A3DEE">
        <w:rPr>
          <w:i/>
        </w:rPr>
        <w:t>State of the Service Report 2020-21</w:t>
      </w:r>
      <w:r w:rsidRPr="008A3DEE">
        <w:t xml:space="preserve">, </w:t>
      </w:r>
      <w:r>
        <w:t xml:space="preserve">APSC, Australian Government, </w:t>
      </w:r>
      <w:r w:rsidRPr="008A3DEE">
        <w:t>2021, accessed 7 August 2024</w:t>
      </w:r>
      <w:r>
        <w:t>;</w:t>
      </w:r>
      <w:r w:rsidRPr="008A3DEE">
        <w:t xml:space="preserve"> APSC, </w:t>
      </w:r>
      <w:hyperlink r:id="rId23" w:history="1">
        <w:r w:rsidRPr="008A3DEE">
          <w:rPr>
            <w:rStyle w:val="Hyperlink"/>
          </w:rPr>
          <w:t>‘2.3 Gender equality’</w:t>
        </w:r>
      </w:hyperlink>
      <w:r w:rsidRPr="008A3DEE">
        <w:t xml:space="preserve">, </w:t>
      </w:r>
      <w:r w:rsidRPr="008A3DEE">
        <w:rPr>
          <w:i/>
        </w:rPr>
        <w:t>Stat</w:t>
      </w:r>
      <w:r>
        <w:rPr>
          <w:i/>
        </w:rPr>
        <w:t>e of the Service Report 2021-22</w:t>
      </w:r>
      <w:r w:rsidRPr="008A3DEE">
        <w:t xml:space="preserve">; APSC, </w:t>
      </w:r>
      <w:hyperlink r:id="rId24" w:history="1">
        <w:r w:rsidRPr="008A3DEE">
          <w:rPr>
            <w:rStyle w:val="Hyperlink"/>
          </w:rPr>
          <w:t>‘Gender equality in the APS’</w:t>
        </w:r>
      </w:hyperlink>
      <w:r w:rsidRPr="008A3DEE">
        <w:t xml:space="preserve">, </w:t>
      </w:r>
      <w:r w:rsidRPr="008A3DEE">
        <w:rPr>
          <w:i/>
        </w:rPr>
        <w:t xml:space="preserve">State of the Service Report 2022-23, </w:t>
      </w:r>
      <w:r>
        <w:t xml:space="preserve">APSC, Australian Government, </w:t>
      </w:r>
      <w:r w:rsidRPr="008A3DEE">
        <w:t>2023, accessed 7 August 2024</w:t>
      </w:r>
      <w:r>
        <w:t>.</w:t>
      </w:r>
    </w:p>
  </w:footnote>
  <w:footnote w:id="33">
    <w:p w14:paraId="3781BD8C" w14:textId="13294CC3" w:rsidR="00260D55" w:rsidRPr="008A3DEE" w:rsidRDefault="00260D55">
      <w:pPr>
        <w:pStyle w:val="FootnoteText"/>
      </w:pPr>
      <w:r w:rsidRPr="008A3DEE">
        <w:rPr>
          <w:rStyle w:val="FootnoteReference"/>
        </w:rPr>
        <w:footnoteRef/>
      </w:r>
      <w:r w:rsidRPr="008A3DEE">
        <w:t xml:space="preserve"> </w:t>
      </w:r>
      <w:proofErr w:type="spellStart"/>
      <w:r>
        <w:t>Breunig</w:t>
      </w:r>
      <w:proofErr w:type="spellEnd"/>
      <w:r>
        <w:t xml:space="preserve"> et al., </w:t>
      </w:r>
      <w:hyperlink r:id="rId25" w:history="1">
        <w:r w:rsidRPr="008F5B17">
          <w:rPr>
            <w:rStyle w:val="Hyperlink"/>
          </w:rPr>
          <w:t>‘</w:t>
        </w:r>
        <w:r>
          <w:rPr>
            <w:rStyle w:val="Hyperlink"/>
          </w:rPr>
          <w:t>Promotion in the Australian Public Service: Improvements for women and stagnation for cultural and linguistic minorities</w:t>
        </w:r>
        <w:r w:rsidRPr="008F5B17">
          <w:rPr>
            <w:rStyle w:val="Hyperlink"/>
          </w:rPr>
          <w:t>’</w:t>
        </w:r>
      </w:hyperlink>
      <w:r>
        <w:t>.</w:t>
      </w:r>
    </w:p>
  </w:footnote>
  <w:footnote w:id="34">
    <w:p w14:paraId="77128465" w14:textId="40A2893E" w:rsidR="00260D55" w:rsidRPr="008A3DEE" w:rsidRDefault="00260D55">
      <w:pPr>
        <w:pStyle w:val="FootnoteText"/>
      </w:pPr>
      <w:r w:rsidRPr="008A3DEE">
        <w:rPr>
          <w:rStyle w:val="FootnoteReference"/>
        </w:rPr>
        <w:footnoteRef/>
      </w:r>
      <w:r w:rsidRPr="008A3DEE">
        <w:t xml:space="preserve"> </w:t>
      </w:r>
      <w:r>
        <w:t>For more information s</w:t>
      </w:r>
      <w:r w:rsidRPr="008A3DEE">
        <w:t>ee</w:t>
      </w:r>
      <w:r>
        <w:t xml:space="preserve"> WGEA, </w:t>
      </w:r>
      <w:hyperlink r:id="rId26" w:history="1">
        <w:r w:rsidRPr="00065108">
          <w:rPr>
            <w:rStyle w:val="Hyperlink"/>
            <w:i/>
          </w:rPr>
          <w:t>Workplace Gender Equality Procurement Principles</w:t>
        </w:r>
      </w:hyperlink>
      <w:r>
        <w:rPr>
          <w:i/>
        </w:rPr>
        <w:t xml:space="preserve">, </w:t>
      </w:r>
      <w:r>
        <w:t xml:space="preserve">WGEA website, </w:t>
      </w:r>
      <w:proofErr w:type="spellStart"/>
      <w:r>
        <w:t>n.d.</w:t>
      </w:r>
      <w:proofErr w:type="spellEnd"/>
      <w:r>
        <w:t>, accessed 8 August 2024</w:t>
      </w:r>
      <w:r w:rsidRPr="008A3DE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DC51D0"/>
    <w:lvl w:ilvl="0">
      <w:start w:val="1"/>
      <w:numFmt w:val="decimal"/>
      <w:pStyle w:val="ListNumber"/>
      <w:lvlText w:val="%1."/>
      <w:lvlJc w:val="left"/>
      <w:pPr>
        <w:tabs>
          <w:tab w:val="num" w:pos="360"/>
        </w:tabs>
        <w:ind w:left="360" w:hanging="360"/>
      </w:pPr>
    </w:lvl>
  </w:abstractNum>
  <w:abstractNum w:abstractNumId="1" w15:restartNumberingAfterBreak="0">
    <w:nsid w:val="008B7245"/>
    <w:multiLevelType w:val="hybridMultilevel"/>
    <w:tmpl w:val="47388C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202850"/>
    <w:multiLevelType w:val="hybridMultilevel"/>
    <w:tmpl w:val="236E8D04"/>
    <w:lvl w:ilvl="0" w:tplc="FFFFFFFF">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23743"/>
    <w:multiLevelType w:val="multilevel"/>
    <w:tmpl w:val="24A09682"/>
    <w:styleLink w:val="DTABullets"/>
    <w:lvl w:ilvl="0">
      <w:start w:val="1"/>
      <w:numFmt w:val="bullet"/>
      <w:lvlText w:val=""/>
      <w:lvlJc w:val="left"/>
      <w:pPr>
        <w:ind w:left="283" w:hanging="283"/>
      </w:pPr>
      <w:rPr>
        <w:rFonts w:ascii="Symbol" w:hAnsi="Symbol" w:hint="default"/>
        <w:color w:val="053A68" w:themeColor="text2"/>
      </w:rPr>
    </w:lvl>
    <w:lvl w:ilvl="1">
      <w:start w:val="1"/>
      <w:numFmt w:val="bullet"/>
      <w:lvlText w:val="–"/>
      <w:lvlJc w:val="left"/>
      <w:pPr>
        <w:ind w:left="851" w:hanging="283"/>
      </w:pPr>
      <w:rPr>
        <w:rFonts w:ascii="Arial" w:hAnsi="Arial" w:hint="default"/>
        <w:color w:val="053A68" w:themeColor="text2"/>
      </w:rPr>
    </w:lvl>
    <w:lvl w:ilvl="2">
      <w:start w:val="1"/>
      <w:numFmt w:val="bullet"/>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bullet"/>
      <w:lvlText w:val=""/>
      <w:lvlJc w:val="left"/>
      <w:pPr>
        <w:ind w:left="283" w:hanging="283"/>
      </w:pPr>
      <w:rPr>
        <w:rFonts w:ascii="Symbol" w:hAnsi="Symbol"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0729629F"/>
    <w:multiLevelType w:val="hybridMultilevel"/>
    <w:tmpl w:val="92123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07F02379"/>
    <w:multiLevelType w:val="hybridMultilevel"/>
    <w:tmpl w:val="2C44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6300BC"/>
    <w:multiLevelType w:val="hybridMultilevel"/>
    <w:tmpl w:val="A8EC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137314"/>
    <w:multiLevelType w:val="hybridMultilevel"/>
    <w:tmpl w:val="12ACB9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3A25789"/>
    <w:multiLevelType w:val="hybridMultilevel"/>
    <w:tmpl w:val="FCD2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F633B"/>
    <w:multiLevelType w:val="hybridMultilevel"/>
    <w:tmpl w:val="9EACB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D0BFF"/>
    <w:multiLevelType w:val="hybridMultilevel"/>
    <w:tmpl w:val="C502897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E80590"/>
    <w:multiLevelType w:val="hybridMultilevel"/>
    <w:tmpl w:val="20EA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056D5A"/>
    <w:multiLevelType w:val="hybridMultilevel"/>
    <w:tmpl w:val="B88C6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6" w15:restartNumberingAfterBreak="0">
    <w:nsid w:val="1A7936F3"/>
    <w:multiLevelType w:val="hybridMultilevel"/>
    <w:tmpl w:val="90300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7764B2"/>
    <w:multiLevelType w:val="hybridMultilevel"/>
    <w:tmpl w:val="07384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C34010"/>
    <w:multiLevelType w:val="hybridMultilevel"/>
    <w:tmpl w:val="E4B6C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926C7D"/>
    <w:multiLevelType w:val="hybridMultilevel"/>
    <w:tmpl w:val="E1C8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9231F0"/>
    <w:multiLevelType w:val="hybridMultilevel"/>
    <w:tmpl w:val="F8EA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DC6942"/>
    <w:multiLevelType w:val="hybridMultilevel"/>
    <w:tmpl w:val="B3CC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183E15"/>
    <w:multiLevelType w:val="hybridMultilevel"/>
    <w:tmpl w:val="8B8E46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F4203B"/>
    <w:multiLevelType w:val="hybridMultilevel"/>
    <w:tmpl w:val="4E92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5" w15:restartNumberingAfterBreak="0">
    <w:nsid w:val="34097C30"/>
    <w:multiLevelType w:val="hybridMultilevel"/>
    <w:tmpl w:val="C610F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A12EBC"/>
    <w:multiLevelType w:val="hybridMultilevel"/>
    <w:tmpl w:val="1E0E77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CC405F"/>
    <w:multiLevelType w:val="hybridMultilevel"/>
    <w:tmpl w:val="88BAF0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1D35D6"/>
    <w:multiLevelType w:val="hybridMultilevel"/>
    <w:tmpl w:val="2486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A62CF5"/>
    <w:multiLevelType w:val="hybridMultilevel"/>
    <w:tmpl w:val="BFEE92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D45699"/>
    <w:multiLevelType w:val="hybridMultilevel"/>
    <w:tmpl w:val="AC7EE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46476169"/>
    <w:multiLevelType w:val="hybridMultilevel"/>
    <w:tmpl w:val="47EA7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7B22856"/>
    <w:multiLevelType w:val="hybridMultilevel"/>
    <w:tmpl w:val="390A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4D0341"/>
    <w:multiLevelType w:val="hybridMultilevel"/>
    <w:tmpl w:val="E722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BA4535"/>
    <w:multiLevelType w:val="hybridMultilevel"/>
    <w:tmpl w:val="9D6C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A9261D"/>
    <w:multiLevelType w:val="hybridMultilevel"/>
    <w:tmpl w:val="D0B8D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E55CE3"/>
    <w:multiLevelType w:val="hybridMultilevel"/>
    <w:tmpl w:val="904E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702CDD"/>
    <w:multiLevelType w:val="hybridMultilevel"/>
    <w:tmpl w:val="C1BCE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4507C6"/>
    <w:multiLevelType w:val="hybridMultilevel"/>
    <w:tmpl w:val="AD46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B3B0E"/>
    <w:multiLevelType w:val="hybridMultilevel"/>
    <w:tmpl w:val="AB00C56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2" w15:restartNumberingAfterBreak="0">
    <w:nsid w:val="64B71DA8"/>
    <w:multiLevelType w:val="hybridMultilevel"/>
    <w:tmpl w:val="98907204"/>
    <w:lvl w:ilvl="0" w:tplc="70224E62">
      <w:start w:val="1"/>
      <w:numFmt w:val="decimal"/>
      <w:lvlText w:val="%1."/>
      <w:lvlJc w:val="left"/>
      <w:pPr>
        <w:ind w:left="720" w:hanging="360"/>
      </w:pPr>
      <w:rPr>
        <w:rFont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DF0009"/>
    <w:multiLevelType w:val="hybridMultilevel"/>
    <w:tmpl w:val="9F086BA6"/>
    <w:lvl w:ilvl="0" w:tplc="C2084F6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5C052D"/>
    <w:multiLevelType w:val="hybridMultilevel"/>
    <w:tmpl w:val="6ABC1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F57605"/>
    <w:multiLevelType w:val="hybridMultilevel"/>
    <w:tmpl w:val="06B6B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6FF254D6"/>
    <w:multiLevelType w:val="hybridMultilevel"/>
    <w:tmpl w:val="C836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7A2E38"/>
    <w:multiLevelType w:val="hybridMultilevel"/>
    <w:tmpl w:val="AF70F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6196C44"/>
    <w:multiLevelType w:val="hybridMultilevel"/>
    <w:tmpl w:val="92DC9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2C7C31"/>
    <w:multiLevelType w:val="hybridMultilevel"/>
    <w:tmpl w:val="4FB64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8884EED"/>
    <w:multiLevelType w:val="hybridMultilevel"/>
    <w:tmpl w:val="31503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89C42F8"/>
    <w:multiLevelType w:val="hybridMultilevel"/>
    <w:tmpl w:val="CA6C0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E35F0A"/>
    <w:multiLevelType w:val="hybridMultilevel"/>
    <w:tmpl w:val="A9EC39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AB537DF"/>
    <w:multiLevelType w:val="hybridMultilevel"/>
    <w:tmpl w:val="2BC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4"/>
  </w:num>
  <w:num w:numId="4">
    <w:abstractNumId w:val="15"/>
  </w:num>
  <w:num w:numId="5">
    <w:abstractNumId w:val="31"/>
  </w:num>
  <w:num w:numId="6">
    <w:abstractNumId w:val="38"/>
  </w:num>
  <w:num w:numId="7">
    <w:abstractNumId w:val="46"/>
  </w:num>
  <w:num w:numId="8">
    <w:abstractNumId w:val="6"/>
  </w:num>
  <w:num w:numId="9">
    <w:abstractNumId w:val="5"/>
  </w:num>
  <w:num w:numId="10">
    <w:abstractNumId w:val="3"/>
  </w:num>
  <w:num w:numId="11">
    <w:abstractNumId w:val="18"/>
  </w:num>
  <w:num w:numId="12">
    <w:abstractNumId w:val="0"/>
  </w:num>
  <w:num w:numId="13">
    <w:abstractNumId w:val="40"/>
  </w:num>
  <w:num w:numId="14">
    <w:abstractNumId w:val="41"/>
  </w:num>
  <w:num w:numId="15">
    <w:abstractNumId w:val="28"/>
  </w:num>
  <w:num w:numId="16">
    <w:abstractNumId w:val="19"/>
  </w:num>
  <w:num w:numId="17">
    <w:abstractNumId w:val="14"/>
  </w:num>
  <w:num w:numId="18">
    <w:abstractNumId w:val="36"/>
  </w:num>
  <w:num w:numId="19">
    <w:abstractNumId w:val="44"/>
  </w:num>
  <w:num w:numId="20">
    <w:abstractNumId w:val="23"/>
  </w:num>
  <w:num w:numId="21">
    <w:abstractNumId w:val="10"/>
  </w:num>
  <w:num w:numId="22">
    <w:abstractNumId w:val="21"/>
  </w:num>
  <w:num w:numId="23">
    <w:abstractNumId w:val="33"/>
  </w:num>
  <w:num w:numId="24">
    <w:abstractNumId w:val="13"/>
  </w:num>
  <w:num w:numId="25">
    <w:abstractNumId w:val="9"/>
  </w:num>
  <w:num w:numId="26">
    <w:abstractNumId w:val="54"/>
  </w:num>
  <w:num w:numId="27">
    <w:abstractNumId w:val="39"/>
  </w:num>
  <w:num w:numId="28">
    <w:abstractNumId w:val="7"/>
  </w:num>
  <w:num w:numId="29">
    <w:abstractNumId w:val="47"/>
  </w:num>
  <w:num w:numId="30">
    <w:abstractNumId w:val="50"/>
  </w:num>
  <w:num w:numId="31">
    <w:abstractNumId w:val="34"/>
  </w:num>
  <w:num w:numId="32">
    <w:abstractNumId w:val="43"/>
  </w:num>
  <w:num w:numId="33">
    <w:abstractNumId w:val="52"/>
  </w:num>
  <w:num w:numId="34">
    <w:abstractNumId w:val="26"/>
  </w:num>
  <w:num w:numId="35">
    <w:abstractNumId w:val="48"/>
  </w:num>
  <w:num w:numId="36">
    <w:abstractNumId w:val="49"/>
  </w:num>
  <w:num w:numId="37">
    <w:abstractNumId w:val="22"/>
  </w:num>
  <w:num w:numId="38">
    <w:abstractNumId w:val="20"/>
  </w:num>
  <w:num w:numId="39">
    <w:abstractNumId w:val="51"/>
  </w:num>
  <w:num w:numId="40">
    <w:abstractNumId w:val="32"/>
  </w:num>
  <w:num w:numId="41">
    <w:abstractNumId w:val="30"/>
  </w:num>
  <w:num w:numId="42">
    <w:abstractNumId w:val="16"/>
  </w:num>
  <w:num w:numId="43">
    <w:abstractNumId w:val="25"/>
  </w:num>
  <w:num w:numId="44">
    <w:abstractNumId w:val="17"/>
  </w:num>
  <w:num w:numId="45">
    <w:abstractNumId w:val="45"/>
  </w:num>
  <w:num w:numId="46">
    <w:abstractNumId w:val="53"/>
  </w:num>
  <w:num w:numId="47">
    <w:abstractNumId w:val="11"/>
  </w:num>
  <w:num w:numId="48">
    <w:abstractNumId w:val="35"/>
  </w:num>
  <w:num w:numId="49">
    <w:abstractNumId w:val="1"/>
  </w:num>
  <w:num w:numId="50">
    <w:abstractNumId w:val="42"/>
  </w:num>
  <w:num w:numId="51">
    <w:abstractNumId w:val="12"/>
  </w:num>
  <w:num w:numId="52">
    <w:abstractNumId w:val="8"/>
  </w:num>
  <w:num w:numId="53">
    <w:abstractNumId w:val="29"/>
  </w:num>
  <w:num w:numId="54">
    <w:abstractNumId w:val="27"/>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77"/>
    <w:rsid w:val="000003C2"/>
    <w:rsid w:val="00000997"/>
    <w:rsid w:val="00000E0A"/>
    <w:rsid w:val="0000125A"/>
    <w:rsid w:val="000014E7"/>
    <w:rsid w:val="0000171C"/>
    <w:rsid w:val="00001767"/>
    <w:rsid w:val="00001C45"/>
    <w:rsid w:val="00002912"/>
    <w:rsid w:val="00002BB2"/>
    <w:rsid w:val="000033F0"/>
    <w:rsid w:val="00004AA6"/>
    <w:rsid w:val="00004BC2"/>
    <w:rsid w:val="00005617"/>
    <w:rsid w:val="00005833"/>
    <w:rsid w:val="00005CBF"/>
    <w:rsid w:val="000061F2"/>
    <w:rsid w:val="000062E9"/>
    <w:rsid w:val="000064CF"/>
    <w:rsid w:val="00006910"/>
    <w:rsid w:val="00006BD5"/>
    <w:rsid w:val="00006D82"/>
    <w:rsid w:val="000074EF"/>
    <w:rsid w:val="00007696"/>
    <w:rsid w:val="0000783E"/>
    <w:rsid w:val="00010FBD"/>
    <w:rsid w:val="00011327"/>
    <w:rsid w:val="000116A5"/>
    <w:rsid w:val="0001213B"/>
    <w:rsid w:val="00012F2D"/>
    <w:rsid w:val="0001311E"/>
    <w:rsid w:val="00013B11"/>
    <w:rsid w:val="00013FDA"/>
    <w:rsid w:val="000147CF"/>
    <w:rsid w:val="00014D71"/>
    <w:rsid w:val="00014EF0"/>
    <w:rsid w:val="0001523E"/>
    <w:rsid w:val="000152DD"/>
    <w:rsid w:val="0001552D"/>
    <w:rsid w:val="00015592"/>
    <w:rsid w:val="00015858"/>
    <w:rsid w:val="000166F8"/>
    <w:rsid w:val="00016F55"/>
    <w:rsid w:val="0001728E"/>
    <w:rsid w:val="0001780F"/>
    <w:rsid w:val="00017D51"/>
    <w:rsid w:val="00017FF9"/>
    <w:rsid w:val="00020986"/>
    <w:rsid w:val="000209E0"/>
    <w:rsid w:val="00020DF7"/>
    <w:rsid w:val="000213B2"/>
    <w:rsid w:val="00021A6C"/>
    <w:rsid w:val="000226F6"/>
    <w:rsid w:val="00022D15"/>
    <w:rsid w:val="00023375"/>
    <w:rsid w:val="0002374E"/>
    <w:rsid w:val="00023784"/>
    <w:rsid w:val="00023795"/>
    <w:rsid w:val="000241C1"/>
    <w:rsid w:val="00024BFB"/>
    <w:rsid w:val="00026127"/>
    <w:rsid w:val="00027355"/>
    <w:rsid w:val="000300F0"/>
    <w:rsid w:val="000301D3"/>
    <w:rsid w:val="000302D8"/>
    <w:rsid w:val="00030C37"/>
    <w:rsid w:val="00030FB5"/>
    <w:rsid w:val="000310D3"/>
    <w:rsid w:val="000312F5"/>
    <w:rsid w:val="0003143E"/>
    <w:rsid w:val="00031555"/>
    <w:rsid w:val="00031B5F"/>
    <w:rsid w:val="00031C80"/>
    <w:rsid w:val="00032023"/>
    <w:rsid w:val="000325C8"/>
    <w:rsid w:val="00032CF6"/>
    <w:rsid w:val="00032EE9"/>
    <w:rsid w:val="00033401"/>
    <w:rsid w:val="00033807"/>
    <w:rsid w:val="000338C3"/>
    <w:rsid w:val="0003409F"/>
    <w:rsid w:val="000343E3"/>
    <w:rsid w:val="00034CAE"/>
    <w:rsid w:val="0003551D"/>
    <w:rsid w:val="00036BD5"/>
    <w:rsid w:val="00036D26"/>
    <w:rsid w:val="00036FDD"/>
    <w:rsid w:val="00037E60"/>
    <w:rsid w:val="00040993"/>
    <w:rsid w:val="00040E2A"/>
    <w:rsid w:val="00040EE9"/>
    <w:rsid w:val="000419A4"/>
    <w:rsid w:val="00042117"/>
    <w:rsid w:val="000425EA"/>
    <w:rsid w:val="00042694"/>
    <w:rsid w:val="000426D2"/>
    <w:rsid w:val="00042FE9"/>
    <w:rsid w:val="000430B7"/>
    <w:rsid w:val="00043861"/>
    <w:rsid w:val="00043E4A"/>
    <w:rsid w:val="00044DDA"/>
    <w:rsid w:val="000456C9"/>
    <w:rsid w:val="00045FDA"/>
    <w:rsid w:val="00046117"/>
    <w:rsid w:val="00046651"/>
    <w:rsid w:val="00046717"/>
    <w:rsid w:val="00047025"/>
    <w:rsid w:val="0005002C"/>
    <w:rsid w:val="000500F3"/>
    <w:rsid w:val="000505FA"/>
    <w:rsid w:val="00050A44"/>
    <w:rsid w:val="00053424"/>
    <w:rsid w:val="00053DB5"/>
    <w:rsid w:val="00054B1A"/>
    <w:rsid w:val="00054DF0"/>
    <w:rsid w:val="00055086"/>
    <w:rsid w:val="00055634"/>
    <w:rsid w:val="0005599A"/>
    <w:rsid w:val="00055B27"/>
    <w:rsid w:val="000562B7"/>
    <w:rsid w:val="00056377"/>
    <w:rsid w:val="00056B7E"/>
    <w:rsid w:val="00056F80"/>
    <w:rsid w:val="00057835"/>
    <w:rsid w:val="00057FF2"/>
    <w:rsid w:val="000604DF"/>
    <w:rsid w:val="000609F4"/>
    <w:rsid w:val="000612B3"/>
    <w:rsid w:val="000615DB"/>
    <w:rsid w:val="00061AE9"/>
    <w:rsid w:val="00062927"/>
    <w:rsid w:val="00062EB5"/>
    <w:rsid w:val="00063553"/>
    <w:rsid w:val="00063A2B"/>
    <w:rsid w:val="00063E9C"/>
    <w:rsid w:val="00063EB6"/>
    <w:rsid w:val="00064079"/>
    <w:rsid w:val="00064093"/>
    <w:rsid w:val="000641D3"/>
    <w:rsid w:val="0006428D"/>
    <w:rsid w:val="000642A3"/>
    <w:rsid w:val="000644AF"/>
    <w:rsid w:val="00065108"/>
    <w:rsid w:val="00065D93"/>
    <w:rsid w:val="0006616B"/>
    <w:rsid w:val="00066541"/>
    <w:rsid w:val="00066707"/>
    <w:rsid w:val="00066A2D"/>
    <w:rsid w:val="00066C13"/>
    <w:rsid w:val="0006734E"/>
    <w:rsid w:val="00067B14"/>
    <w:rsid w:val="000701DB"/>
    <w:rsid w:val="0007076A"/>
    <w:rsid w:val="0007088D"/>
    <w:rsid w:val="00071339"/>
    <w:rsid w:val="00071756"/>
    <w:rsid w:val="000718BE"/>
    <w:rsid w:val="0007227D"/>
    <w:rsid w:val="000725BB"/>
    <w:rsid w:val="0007266E"/>
    <w:rsid w:val="00072819"/>
    <w:rsid w:val="00072D5B"/>
    <w:rsid w:val="00072E6F"/>
    <w:rsid w:val="00074B07"/>
    <w:rsid w:val="00074C88"/>
    <w:rsid w:val="00074EA7"/>
    <w:rsid w:val="00076C5A"/>
    <w:rsid w:val="00076E65"/>
    <w:rsid w:val="00077039"/>
    <w:rsid w:val="000773EC"/>
    <w:rsid w:val="00077D2E"/>
    <w:rsid w:val="00080A32"/>
    <w:rsid w:val="00080D71"/>
    <w:rsid w:val="00080D90"/>
    <w:rsid w:val="00080FBF"/>
    <w:rsid w:val="00081600"/>
    <w:rsid w:val="000817BF"/>
    <w:rsid w:val="000818D3"/>
    <w:rsid w:val="00081EAB"/>
    <w:rsid w:val="00082730"/>
    <w:rsid w:val="0008312C"/>
    <w:rsid w:val="0008322A"/>
    <w:rsid w:val="000833B4"/>
    <w:rsid w:val="0008344E"/>
    <w:rsid w:val="00083DC2"/>
    <w:rsid w:val="000844F2"/>
    <w:rsid w:val="0008481C"/>
    <w:rsid w:val="00084823"/>
    <w:rsid w:val="00084D81"/>
    <w:rsid w:val="00084D9E"/>
    <w:rsid w:val="0008587E"/>
    <w:rsid w:val="000859D4"/>
    <w:rsid w:val="00085B88"/>
    <w:rsid w:val="0008669E"/>
    <w:rsid w:val="00086B62"/>
    <w:rsid w:val="00086C22"/>
    <w:rsid w:val="00086E10"/>
    <w:rsid w:val="00087AAB"/>
    <w:rsid w:val="0009094F"/>
    <w:rsid w:val="00090AC8"/>
    <w:rsid w:val="00090C83"/>
    <w:rsid w:val="0009116C"/>
    <w:rsid w:val="00091478"/>
    <w:rsid w:val="0009185B"/>
    <w:rsid w:val="000918D3"/>
    <w:rsid w:val="00091D8C"/>
    <w:rsid w:val="00093E5B"/>
    <w:rsid w:val="0009419B"/>
    <w:rsid w:val="00094700"/>
    <w:rsid w:val="00095635"/>
    <w:rsid w:val="00095754"/>
    <w:rsid w:val="000958A5"/>
    <w:rsid w:val="00095ACE"/>
    <w:rsid w:val="00095C57"/>
    <w:rsid w:val="00096D6C"/>
    <w:rsid w:val="0009709A"/>
    <w:rsid w:val="00097C8E"/>
    <w:rsid w:val="00097D3F"/>
    <w:rsid w:val="000A0706"/>
    <w:rsid w:val="000A0B87"/>
    <w:rsid w:val="000A0CD4"/>
    <w:rsid w:val="000A0F02"/>
    <w:rsid w:val="000A1180"/>
    <w:rsid w:val="000A124C"/>
    <w:rsid w:val="000A1F45"/>
    <w:rsid w:val="000A2228"/>
    <w:rsid w:val="000A2418"/>
    <w:rsid w:val="000A2563"/>
    <w:rsid w:val="000A2659"/>
    <w:rsid w:val="000A2CF8"/>
    <w:rsid w:val="000A2EBE"/>
    <w:rsid w:val="000A42DE"/>
    <w:rsid w:val="000A51F8"/>
    <w:rsid w:val="000A5ED1"/>
    <w:rsid w:val="000A6026"/>
    <w:rsid w:val="000A6457"/>
    <w:rsid w:val="000A6CBD"/>
    <w:rsid w:val="000A6DD6"/>
    <w:rsid w:val="000A71C2"/>
    <w:rsid w:val="000A796C"/>
    <w:rsid w:val="000B1A6B"/>
    <w:rsid w:val="000B1BE4"/>
    <w:rsid w:val="000B1FC4"/>
    <w:rsid w:val="000B2879"/>
    <w:rsid w:val="000B2BED"/>
    <w:rsid w:val="000B3589"/>
    <w:rsid w:val="000B4228"/>
    <w:rsid w:val="000B43EC"/>
    <w:rsid w:val="000B466A"/>
    <w:rsid w:val="000B4A71"/>
    <w:rsid w:val="000B4CB7"/>
    <w:rsid w:val="000B51BC"/>
    <w:rsid w:val="000B54BE"/>
    <w:rsid w:val="000B5DCF"/>
    <w:rsid w:val="000B6082"/>
    <w:rsid w:val="000B719D"/>
    <w:rsid w:val="000B75D3"/>
    <w:rsid w:val="000B7891"/>
    <w:rsid w:val="000B78F3"/>
    <w:rsid w:val="000C1215"/>
    <w:rsid w:val="000C1B7C"/>
    <w:rsid w:val="000C2212"/>
    <w:rsid w:val="000C2E8C"/>
    <w:rsid w:val="000C2E96"/>
    <w:rsid w:val="000C3CD1"/>
    <w:rsid w:val="000C430A"/>
    <w:rsid w:val="000C4423"/>
    <w:rsid w:val="000C49E3"/>
    <w:rsid w:val="000C4EB1"/>
    <w:rsid w:val="000C5088"/>
    <w:rsid w:val="000C52BA"/>
    <w:rsid w:val="000C5FE3"/>
    <w:rsid w:val="000C663F"/>
    <w:rsid w:val="000C670B"/>
    <w:rsid w:val="000C6867"/>
    <w:rsid w:val="000C699C"/>
    <w:rsid w:val="000C6C5E"/>
    <w:rsid w:val="000C72C0"/>
    <w:rsid w:val="000C7890"/>
    <w:rsid w:val="000C7E66"/>
    <w:rsid w:val="000D0140"/>
    <w:rsid w:val="000D0429"/>
    <w:rsid w:val="000D0AC7"/>
    <w:rsid w:val="000D2017"/>
    <w:rsid w:val="000D227B"/>
    <w:rsid w:val="000D230F"/>
    <w:rsid w:val="000D2765"/>
    <w:rsid w:val="000D3560"/>
    <w:rsid w:val="000D3C5B"/>
    <w:rsid w:val="000D3F52"/>
    <w:rsid w:val="000D48F7"/>
    <w:rsid w:val="000D4EA7"/>
    <w:rsid w:val="000D561C"/>
    <w:rsid w:val="000D5C72"/>
    <w:rsid w:val="000D611B"/>
    <w:rsid w:val="000D6C16"/>
    <w:rsid w:val="000D6D80"/>
    <w:rsid w:val="000D6DD7"/>
    <w:rsid w:val="000D7263"/>
    <w:rsid w:val="000D72BA"/>
    <w:rsid w:val="000D7706"/>
    <w:rsid w:val="000D7C46"/>
    <w:rsid w:val="000E0C6E"/>
    <w:rsid w:val="000E0CA4"/>
    <w:rsid w:val="000E11C4"/>
    <w:rsid w:val="000E14C5"/>
    <w:rsid w:val="000E14F5"/>
    <w:rsid w:val="000E16F3"/>
    <w:rsid w:val="000E1828"/>
    <w:rsid w:val="000E1870"/>
    <w:rsid w:val="000E23CD"/>
    <w:rsid w:val="000E2870"/>
    <w:rsid w:val="000E2BF7"/>
    <w:rsid w:val="000E36A6"/>
    <w:rsid w:val="000E4242"/>
    <w:rsid w:val="000E5931"/>
    <w:rsid w:val="000E5AB8"/>
    <w:rsid w:val="000E5C74"/>
    <w:rsid w:val="000E5E32"/>
    <w:rsid w:val="000E5E56"/>
    <w:rsid w:val="000E68C4"/>
    <w:rsid w:val="000E7511"/>
    <w:rsid w:val="000E7B03"/>
    <w:rsid w:val="000E7EDE"/>
    <w:rsid w:val="000E7F82"/>
    <w:rsid w:val="000F02EC"/>
    <w:rsid w:val="000F03FA"/>
    <w:rsid w:val="000F0666"/>
    <w:rsid w:val="000F0781"/>
    <w:rsid w:val="000F0860"/>
    <w:rsid w:val="000F0C38"/>
    <w:rsid w:val="000F14E6"/>
    <w:rsid w:val="000F2542"/>
    <w:rsid w:val="000F3421"/>
    <w:rsid w:val="000F3793"/>
    <w:rsid w:val="000F380E"/>
    <w:rsid w:val="000F4194"/>
    <w:rsid w:val="000F497C"/>
    <w:rsid w:val="000F4A80"/>
    <w:rsid w:val="000F5D01"/>
    <w:rsid w:val="000F5F07"/>
    <w:rsid w:val="000F6350"/>
    <w:rsid w:val="000F65DC"/>
    <w:rsid w:val="000F6A3E"/>
    <w:rsid w:val="000F6B0D"/>
    <w:rsid w:val="000F7118"/>
    <w:rsid w:val="000F71E3"/>
    <w:rsid w:val="000F7232"/>
    <w:rsid w:val="000F76B6"/>
    <w:rsid w:val="000F771C"/>
    <w:rsid w:val="000F79B8"/>
    <w:rsid w:val="0010013D"/>
    <w:rsid w:val="00100C8C"/>
    <w:rsid w:val="001010EE"/>
    <w:rsid w:val="00101650"/>
    <w:rsid w:val="00101798"/>
    <w:rsid w:val="0010201A"/>
    <w:rsid w:val="001034BF"/>
    <w:rsid w:val="00103647"/>
    <w:rsid w:val="0010366D"/>
    <w:rsid w:val="001037BD"/>
    <w:rsid w:val="00103F96"/>
    <w:rsid w:val="00104307"/>
    <w:rsid w:val="00104599"/>
    <w:rsid w:val="00104924"/>
    <w:rsid w:val="00105361"/>
    <w:rsid w:val="001054B5"/>
    <w:rsid w:val="00105B58"/>
    <w:rsid w:val="0010641C"/>
    <w:rsid w:val="0010661E"/>
    <w:rsid w:val="0010712A"/>
    <w:rsid w:val="001072C6"/>
    <w:rsid w:val="0010758A"/>
    <w:rsid w:val="001078E8"/>
    <w:rsid w:val="00110A2A"/>
    <w:rsid w:val="0011134B"/>
    <w:rsid w:val="0011148A"/>
    <w:rsid w:val="001115F3"/>
    <w:rsid w:val="00111C57"/>
    <w:rsid w:val="001124FF"/>
    <w:rsid w:val="001125BD"/>
    <w:rsid w:val="001126C1"/>
    <w:rsid w:val="001127EF"/>
    <w:rsid w:val="00112B16"/>
    <w:rsid w:val="00112F8D"/>
    <w:rsid w:val="00113153"/>
    <w:rsid w:val="001131F3"/>
    <w:rsid w:val="001134C2"/>
    <w:rsid w:val="00113FB5"/>
    <w:rsid w:val="001140AC"/>
    <w:rsid w:val="001142CB"/>
    <w:rsid w:val="001147A2"/>
    <w:rsid w:val="00115381"/>
    <w:rsid w:val="0011538C"/>
    <w:rsid w:val="001156F9"/>
    <w:rsid w:val="00115E17"/>
    <w:rsid w:val="00115F81"/>
    <w:rsid w:val="00115FED"/>
    <w:rsid w:val="0011603C"/>
    <w:rsid w:val="00116886"/>
    <w:rsid w:val="00116BC8"/>
    <w:rsid w:val="00116E69"/>
    <w:rsid w:val="00117644"/>
    <w:rsid w:val="001177A2"/>
    <w:rsid w:val="00117953"/>
    <w:rsid w:val="00120625"/>
    <w:rsid w:val="0012098B"/>
    <w:rsid w:val="00120B16"/>
    <w:rsid w:val="00120E49"/>
    <w:rsid w:val="00121091"/>
    <w:rsid w:val="001218B6"/>
    <w:rsid w:val="00121DA8"/>
    <w:rsid w:val="00122045"/>
    <w:rsid w:val="001224A2"/>
    <w:rsid w:val="0012264A"/>
    <w:rsid w:val="00122B16"/>
    <w:rsid w:val="0012305E"/>
    <w:rsid w:val="001244A7"/>
    <w:rsid w:val="00124C3A"/>
    <w:rsid w:val="00124ED7"/>
    <w:rsid w:val="00125910"/>
    <w:rsid w:val="00125DE5"/>
    <w:rsid w:val="00126350"/>
    <w:rsid w:val="00126351"/>
    <w:rsid w:val="00126605"/>
    <w:rsid w:val="00126A86"/>
    <w:rsid w:val="00126EDD"/>
    <w:rsid w:val="001278C4"/>
    <w:rsid w:val="00127A67"/>
    <w:rsid w:val="00130118"/>
    <w:rsid w:val="00130394"/>
    <w:rsid w:val="0013097E"/>
    <w:rsid w:val="0013105F"/>
    <w:rsid w:val="00131403"/>
    <w:rsid w:val="001319A8"/>
    <w:rsid w:val="00131B75"/>
    <w:rsid w:val="001320F3"/>
    <w:rsid w:val="00132317"/>
    <w:rsid w:val="00132C3C"/>
    <w:rsid w:val="00132F4A"/>
    <w:rsid w:val="001331BD"/>
    <w:rsid w:val="00133356"/>
    <w:rsid w:val="00133579"/>
    <w:rsid w:val="00133B08"/>
    <w:rsid w:val="00133E94"/>
    <w:rsid w:val="00133F0C"/>
    <w:rsid w:val="00134210"/>
    <w:rsid w:val="00135300"/>
    <w:rsid w:val="00135316"/>
    <w:rsid w:val="0013560F"/>
    <w:rsid w:val="00135D98"/>
    <w:rsid w:val="001362EB"/>
    <w:rsid w:val="00136414"/>
    <w:rsid w:val="001367C2"/>
    <w:rsid w:val="001369E7"/>
    <w:rsid w:val="00136ABD"/>
    <w:rsid w:val="00136B2C"/>
    <w:rsid w:val="0013733D"/>
    <w:rsid w:val="0013786F"/>
    <w:rsid w:val="001407FC"/>
    <w:rsid w:val="00140C54"/>
    <w:rsid w:val="0014154B"/>
    <w:rsid w:val="00141C24"/>
    <w:rsid w:val="001420CB"/>
    <w:rsid w:val="001423BE"/>
    <w:rsid w:val="0014312B"/>
    <w:rsid w:val="00143EFF"/>
    <w:rsid w:val="00143F08"/>
    <w:rsid w:val="00144F73"/>
    <w:rsid w:val="0014571E"/>
    <w:rsid w:val="00145B70"/>
    <w:rsid w:val="00145C57"/>
    <w:rsid w:val="001460FA"/>
    <w:rsid w:val="001465F6"/>
    <w:rsid w:val="00146A20"/>
    <w:rsid w:val="00147265"/>
    <w:rsid w:val="00147475"/>
    <w:rsid w:val="00150BE1"/>
    <w:rsid w:val="00151AFB"/>
    <w:rsid w:val="00151B1D"/>
    <w:rsid w:val="00151DB5"/>
    <w:rsid w:val="0015286F"/>
    <w:rsid w:val="00152AA1"/>
    <w:rsid w:val="00152CAC"/>
    <w:rsid w:val="00152EBF"/>
    <w:rsid w:val="00153079"/>
    <w:rsid w:val="0015320B"/>
    <w:rsid w:val="00153876"/>
    <w:rsid w:val="00153C70"/>
    <w:rsid w:val="00154460"/>
    <w:rsid w:val="001547B3"/>
    <w:rsid w:val="00154A40"/>
    <w:rsid w:val="001552C7"/>
    <w:rsid w:val="00155688"/>
    <w:rsid w:val="00155692"/>
    <w:rsid w:val="001557B4"/>
    <w:rsid w:val="0015670D"/>
    <w:rsid w:val="001568F6"/>
    <w:rsid w:val="00156C11"/>
    <w:rsid w:val="00156F7A"/>
    <w:rsid w:val="001577D2"/>
    <w:rsid w:val="0016038D"/>
    <w:rsid w:val="00160989"/>
    <w:rsid w:val="00160BC9"/>
    <w:rsid w:val="00161344"/>
    <w:rsid w:val="001625A6"/>
    <w:rsid w:val="00162D1A"/>
    <w:rsid w:val="0016301C"/>
    <w:rsid w:val="00163806"/>
    <w:rsid w:val="00163FF6"/>
    <w:rsid w:val="00164CB1"/>
    <w:rsid w:val="00164E7C"/>
    <w:rsid w:val="00165B9D"/>
    <w:rsid w:val="00165EEF"/>
    <w:rsid w:val="001664A0"/>
    <w:rsid w:val="00166956"/>
    <w:rsid w:val="00166B5C"/>
    <w:rsid w:val="00166EE6"/>
    <w:rsid w:val="00167255"/>
    <w:rsid w:val="001716CA"/>
    <w:rsid w:val="00171E80"/>
    <w:rsid w:val="00172192"/>
    <w:rsid w:val="001721A3"/>
    <w:rsid w:val="001723C1"/>
    <w:rsid w:val="001725F2"/>
    <w:rsid w:val="001733D8"/>
    <w:rsid w:val="00173795"/>
    <w:rsid w:val="00173869"/>
    <w:rsid w:val="00173D6E"/>
    <w:rsid w:val="00174DF9"/>
    <w:rsid w:val="00174E9C"/>
    <w:rsid w:val="0017637F"/>
    <w:rsid w:val="0017696C"/>
    <w:rsid w:val="00176C1D"/>
    <w:rsid w:val="00177472"/>
    <w:rsid w:val="00177507"/>
    <w:rsid w:val="0017770E"/>
    <w:rsid w:val="00177EE1"/>
    <w:rsid w:val="00177F53"/>
    <w:rsid w:val="0018006E"/>
    <w:rsid w:val="001807B7"/>
    <w:rsid w:val="00180AAA"/>
    <w:rsid w:val="00180C6F"/>
    <w:rsid w:val="00181779"/>
    <w:rsid w:val="00181AAF"/>
    <w:rsid w:val="001822CC"/>
    <w:rsid w:val="001823B0"/>
    <w:rsid w:val="00182C9D"/>
    <w:rsid w:val="00183086"/>
    <w:rsid w:val="0018335F"/>
    <w:rsid w:val="00183617"/>
    <w:rsid w:val="00183BA4"/>
    <w:rsid w:val="0018419D"/>
    <w:rsid w:val="001847A6"/>
    <w:rsid w:val="001849CA"/>
    <w:rsid w:val="00184C4D"/>
    <w:rsid w:val="00184D9F"/>
    <w:rsid w:val="00185563"/>
    <w:rsid w:val="001857D3"/>
    <w:rsid w:val="00186E6A"/>
    <w:rsid w:val="00187173"/>
    <w:rsid w:val="0018735F"/>
    <w:rsid w:val="001875B6"/>
    <w:rsid w:val="00187B63"/>
    <w:rsid w:val="00187F35"/>
    <w:rsid w:val="00190E0E"/>
    <w:rsid w:val="00190FD0"/>
    <w:rsid w:val="001913C3"/>
    <w:rsid w:val="00191846"/>
    <w:rsid w:val="001926E2"/>
    <w:rsid w:val="00192E09"/>
    <w:rsid w:val="0019346D"/>
    <w:rsid w:val="001934F2"/>
    <w:rsid w:val="001935C2"/>
    <w:rsid w:val="0019396A"/>
    <w:rsid w:val="001939B5"/>
    <w:rsid w:val="00193F87"/>
    <w:rsid w:val="001952C5"/>
    <w:rsid w:val="00195437"/>
    <w:rsid w:val="00195504"/>
    <w:rsid w:val="001955AA"/>
    <w:rsid w:val="001956B4"/>
    <w:rsid w:val="001960BB"/>
    <w:rsid w:val="0019628C"/>
    <w:rsid w:val="00196966"/>
    <w:rsid w:val="00197159"/>
    <w:rsid w:val="00197285"/>
    <w:rsid w:val="00197693"/>
    <w:rsid w:val="0019795A"/>
    <w:rsid w:val="001A0C6A"/>
    <w:rsid w:val="001A1514"/>
    <w:rsid w:val="001A1939"/>
    <w:rsid w:val="001A19A6"/>
    <w:rsid w:val="001A1CFD"/>
    <w:rsid w:val="001A1D2E"/>
    <w:rsid w:val="001A20BF"/>
    <w:rsid w:val="001A2779"/>
    <w:rsid w:val="001A298B"/>
    <w:rsid w:val="001A2C6B"/>
    <w:rsid w:val="001A31AA"/>
    <w:rsid w:val="001A323A"/>
    <w:rsid w:val="001A3353"/>
    <w:rsid w:val="001A46EB"/>
    <w:rsid w:val="001A46FB"/>
    <w:rsid w:val="001A4746"/>
    <w:rsid w:val="001A5762"/>
    <w:rsid w:val="001A57CD"/>
    <w:rsid w:val="001B013B"/>
    <w:rsid w:val="001B05B8"/>
    <w:rsid w:val="001B0F67"/>
    <w:rsid w:val="001B105D"/>
    <w:rsid w:val="001B1A31"/>
    <w:rsid w:val="001B2954"/>
    <w:rsid w:val="001B2DE2"/>
    <w:rsid w:val="001B2DF6"/>
    <w:rsid w:val="001B3FE1"/>
    <w:rsid w:val="001B4463"/>
    <w:rsid w:val="001B49DE"/>
    <w:rsid w:val="001B4B4D"/>
    <w:rsid w:val="001B4DAE"/>
    <w:rsid w:val="001B5BBF"/>
    <w:rsid w:val="001B6075"/>
    <w:rsid w:val="001B60CD"/>
    <w:rsid w:val="001B6603"/>
    <w:rsid w:val="001B6C77"/>
    <w:rsid w:val="001B6CCD"/>
    <w:rsid w:val="001B75F4"/>
    <w:rsid w:val="001B7CE4"/>
    <w:rsid w:val="001C005F"/>
    <w:rsid w:val="001C01A7"/>
    <w:rsid w:val="001C09BE"/>
    <w:rsid w:val="001C0AFA"/>
    <w:rsid w:val="001C10EA"/>
    <w:rsid w:val="001C150F"/>
    <w:rsid w:val="001C1A00"/>
    <w:rsid w:val="001C1E3A"/>
    <w:rsid w:val="001C1FD1"/>
    <w:rsid w:val="001C211D"/>
    <w:rsid w:val="001C22E0"/>
    <w:rsid w:val="001C248F"/>
    <w:rsid w:val="001C2AD1"/>
    <w:rsid w:val="001C2D22"/>
    <w:rsid w:val="001C2F07"/>
    <w:rsid w:val="001C3875"/>
    <w:rsid w:val="001C4D82"/>
    <w:rsid w:val="001C53F2"/>
    <w:rsid w:val="001C5478"/>
    <w:rsid w:val="001C58B7"/>
    <w:rsid w:val="001C5D03"/>
    <w:rsid w:val="001C5DCB"/>
    <w:rsid w:val="001C62C7"/>
    <w:rsid w:val="001C6F0D"/>
    <w:rsid w:val="001C745A"/>
    <w:rsid w:val="001C76C2"/>
    <w:rsid w:val="001D0647"/>
    <w:rsid w:val="001D1148"/>
    <w:rsid w:val="001D12FC"/>
    <w:rsid w:val="001D1C3F"/>
    <w:rsid w:val="001D1D89"/>
    <w:rsid w:val="001D1DA6"/>
    <w:rsid w:val="001D1EF1"/>
    <w:rsid w:val="001D22DD"/>
    <w:rsid w:val="001D23DD"/>
    <w:rsid w:val="001D25F9"/>
    <w:rsid w:val="001D2779"/>
    <w:rsid w:val="001D2E1C"/>
    <w:rsid w:val="001D39DF"/>
    <w:rsid w:val="001D3AC9"/>
    <w:rsid w:val="001D42A9"/>
    <w:rsid w:val="001D455A"/>
    <w:rsid w:val="001D4602"/>
    <w:rsid w:val="001D47CA"/>
    <w:rsid w:val="001D4E22"/>
    <w:rsid w:val="001D4EB5"/>
    <w:rsid w:val="001D5552"/>
    <w:rsid w:val="001D6516"/>
    <w:rsid w:val="001D6623"/>
    <w:rsid w:val="001D66F5"/>
    <w:rsid w:val="001D6866"/>
    <w:rsid w:val="001D69C9"/>
    <w:rsid w:val="001D6D3C"/>
    <w:rsid w:val="001D6ECF"/>
    <w:rsid w:val="001D70E9"/>
    <w:rsid w:val="001D7484"/>
    <w:rsid w:val="001D7529"/>
    <w:rsid w:val="001E0727"/>
    <w:rsid w:val="001E0E87"/>
    <w:rsid w:val="001E2A46"/>
    <w:rsid w:val="001E2F2C"/>
    <w:rsid w:val="001E3282"/>
    <w:rsid w:val="001E3433"/>
    <w:rsid w:val="001E39FD"/>
    <w:rsid w:val="001E42EF"/>
    <w:rsid w:val="001E4824"/>
    <w:rsid w:val="001E506C"/>
    <w:rsid w:val="001E51B4"/>
    <w:rsid w:val="001E51CB"/>
    <w:rsid w:val="001E529C"/>
    <w:rsid w:val="001E5603"/>
    <w:rsid w:val="001E5AFD"/>
    <w:rsid w:val="001E5EEA"/>
    <w:rsid w:val="001E5F54"/>
    <w:rsid w:val="001E60DE"/>
    <w:rsid w:val="001E6155"/>
    <w:rsid w:val="001E661B"/>
    <w:rsid w:val="001E77DC"/>
    <w:rsid w:val="001E79B1"/>
    <w:rsid w:val="001E79F4"/>
    <w:rsid w:val="001F0033"/>
    <w:rsid w:val="001F0134"/>
    <w:rsid w:val="001F14EC"/>
    <w:rsid w:val="001F1590"/>
    <w:rsid w:val="001F2AE5"/>
    <w:rsid w:val="001F30A4"/>
    <w:rsid w:val="001F3D80"/>
    <w:rsid w:val="001F4531"/>
    <w:rsid w:val="001F4726"/>
    <w:rsid w:val="001F48A5"/>
    <w:rsid w:val="001F4D60"/>
    <w:rsid w:val="001F4DB9"/>
    <w:rsid w:val="001F4F0D"/>
    <w:rsid w:val="001F57CE"/>
    <w:rsid w:val="001F5802"/>
    <w:rsid w:val="001F5A3E"/>
    <w:rsid w:val="001F600B"/>
    <w:rsid w:val="001F6C11"/>
    <w:rsid w:val="001F6C3D"/>
    <w:rsid w:val="001F6FBC"/>
    <w:rsid w:val="001F7114"/>
    <w:rsid w:val="001F7345"/>
    <w:rsid w:val="001F768C"/>
    <w:rsid w:val="001F7A06"/>
    <w:rsid w:val="00201939"/>
    <w:rsid w:val="00201B9D"/>
    <w:rsid w:val="00202A04"/>
    <w:rsid w:val="00202FC8"/>
    <w:rsid w:val="002031C3"/>
    <w:rsid w:val="002035E9"/>
    <w:rsid w:val="00203921"/>
    <w:rsid w:val="00204C4D"/>
    <w:rsid w:val="0020526B"/>
    <w:rsid w:val="00205285"/>
    <w:rsid w:val="002059B3"/>
    <w:rsid w:val="00205C02"/>
    <w:rsid w:val="00205DFC"/>
    <w:rsid w:val="00205E66"/>
    <w:rsid w:val="00206512"/>
    <w:rsid w:val="0020715C"/>
    <w:rsid w:val="00207318"/>
    <w:rsid w:val="002101CA"/>
    <w:rsid w:val="00210352"/>
    <w:rsid w:val="0021047E"/>
    <w:rsid w:val="002108E1"/>
    <w:rsid w:val="00210B01"/>
    <w:rsid w:val="00210C69"/>
    <w:rsid w:val="00211554"/>
    <w:rsid w:val="00211D34"/>
    <w:rsid w:val="00212228"/>
    <w:rsid w:val="002122CB"/>
    <w:rsid w:val="0021297C"/>
    <w:rsid w:val="00212D80"/>
    <w:rsid w:val="00212E11"/>
    <w:rsid w:val="00212ED3"/>
    <w:rsid w:val="00213A5C"/>
    <w:rsid w:val="00213DF5"/>
    <w:rsid w:val="00215789"/>
    <w:rsid w:val="00216486"/>
    <w:rsid w:val="00216C98"/>
    <w:rsid w:val="00217245"/>
    <w:rsid w:val="002201F2"/>
    <w:rsid w:val="00220A0A"/>
    <w:rsid w:val="00221FCE"/>
    <w:rsid w:val="00222392"/>
    <w:rsid w:val="002225CC"/>
    <w:rsid w:val="002227D1"/>
    <w:rsid w:val="0022289C"/>
    <w:rsid w:val="002231AE"/>
    <w:rsid w:val="002236D3"/>
    <w:rsid w:val="0022431D"/>
    <w:rsid w:val="00224EBA"/>
    <w:rsid w:val="00225638"/>
    <w:rsid w:val="002259D4"/>
    <w:rsid w:val="00225EF6"/>
    <w:rsid w:val="00226431"/>
    <w:rsid w:val="00226529"/>
    <w:rsid w:val="0022658F"/>
    <w:rsid w:val="002268A6"/>
    <w:rsid w:val="00226FCE"/>
    <w:rsid w:val="00227500"/>
    <w:rsid w:val="00227E64"/>
    <w:rsid w:val="00227EAE"/>
    <w:rsid w:val="0023048E"/>
    <w:rsid w:val="002305E7"/>
    <w:rsid w:val="00230CCE"/>
    <w:rsid w:val="00230EB2"/>
    <w:rsid w:val="002312A4"/>
    <w:rsid w:val="0023134E"/>
    <w:rsid w:val="00231BC3"/>
    <w:rsid w:val="00232492"/>
    <w:rsid w:val="002324EF"/>
    <w:rsid w:val="0023278B"/>
    <w:rsid w:val="002328A9"/>
    <w:rsid w:val="00232BEF"/>
    <w:rsid w:val="0023305E"/>
    <w:rsid w:val="00233257"/>
    <w:rsid w:val="0023342C"/>
    <w:rsid w:val="00233A38"/>
    <w:rsid w:val="00234D31"/>
    <w:rsid w:val="00235459"/>
    <w:rsid w:val="00235567"/>
    <w:rsid w:val="00235C71"/>
    <w:rsid w:val="00236679"/>
    <w:rsid w:val="0023681A"/>
    <w:rsid w:val="002368F4"/>
    <w:rsid w:val="00236AA0"/>
    <w:rsid w:val="0023793A"/>
    <w:rsid w:val="00237E3F"/>
    <w:rsid w:val="00237EBC"/>
    <w:rsid w:val="00240784"/>
    <w:rsid w:val="00240D3E"/>
    <w:rsid w:val="00240FCC"/>
    <w:rsid w:val="00241233"/>
    <w:rsid w:val="0024140C"/>
    <w:rsid w:val="00241841"/>
    <w:rsid w:val="00241C9E"/>
    <w:rsid w:val="00241FB5"/>
    <w:rsid w:val="00242040"/>
    <w:rsid w:val="0024210F"/>
    <w:rsid w:val="00243193"/>
    <w:rsid w:val="002434FF"/>
    <w:rsid w:val="00243F7E"/>
    <w:rsid w:val="00243FB0"/>
    <w:rsid w:val="00244423"/>
    <w:rsid w:val="00245247"/>
    <w:rsid w:val="0024551B"/>
    <w:rsid w:val="002457B1"/>
    <w:rsid w:val="00245C72"/>
    <w:rsid w:val="00245E33"/>
    <w:rsid w:val="00246207"/>
    <w:rsid w:val="00246261"/>
    <w:rsid w:val="00246353"/>
    <w:rsid w:val="00246500"/>
    <w:rsid w:val="00246987"/>
    <w:rsid w:val="00247019"/>
    <w:rsid w:val="00247681"/>
    <w:rsid w:val="002476C6"/>
    <w:rsid w:val="002503B8"/>
    <w:rsid w:val="002503E3"/>
    <w:rsid w:val="00250BE2"/>
    <w:rsid w:val="00250F6C"/>
    <w:rsid w:val="002522CD"/>
    <w:rsid w:val="00252682"/>
    <w:rsid w:val="00252A98"/>
    <w:rsid w:val="00252FCD"/>
    <w:rsid w:val="0025382C"/>
    <w:rsid w:val="002540BF"/>
    <w:rsid w:val="0025415B"/>
    <w:rsid w:val="002542E7"/>
    <w:rsid w:val="00254FE5"/>
    <w:rsid w:val="0025537E"/>
    <w:rsid w:val="002559BF"/>
    <w:rsid w:val="00256312"/>
    <w:rsid w:val="00256839"/>
    <w:rsid w:val="00256A6D"/>
    <w:rsid w:val="00256AF8"/>
    <w:rsid w:val="00257486"/>
    <w:rsid w:val="002574E1"/>
    <w:rsid w:val="0025790D"/>
    <w:rsid w:val="0026037F"/>
    <w:rsid w:val="0026047F"/>
    <w:rsid w:val="00260D55"/>
    <w:rsid w:val="00261103"/>
    <w:rsid w:val="0026152B"/>
    <w:rsid w:val="002620AB"/>
    <w:rsid w:val="00262557"/>
    <w:rsid w:val="00262948"/>
    <w:rsid w:val="00262E9A"/>
    <w:rsid w:val="00264D24"/>
    <w:rsid w:val="002654A8"/>
    <w:rsid w:val="002654D4"/>
    <w:rsid w:val="00265D62"/>
    <w:rsid w:val="002666B8"/>
    <w:rsid w:val="00266D4D"/>
    <w:rsid w:val="00267470"/>
    <w:rsid w:val="002674F7"/>
    <w:rsid w:val="0026795A"/>
    <w:rsid w:val="002700C9"/>
    <w:rsid w:val="002705A4"/>
    <w:rsid w:val="00271468"/>
    <w:rsid w:val="00271BBF"/>
    <w:rsid w:val="0027274E"/>
    <w:rsid w:val="00272841"/>
    <w:rsid w:val="0027357B"/>
    <w:rsid w:val="002739CF"/>
    <w:rsid w:val="002739F9"/>
    <w:rsid w:val="00273E1E"/>
    <w:rsid w:val="00273FF7"/>
    <w:rsid w:val="002742B5"/>
    <w:rsid w:val="00274DDA"/>
    <w:rsid w:val="00275094"/>
    <w:rsid w:val="00275305"/>
    <w:rsid w:val="00275387"/>
    <w:rsid w:val="0027550C"/>
    <w:rsid w:val="00275519"/>
    <w:rsid w:val="0027601C"/>
    <w:rsid w:val="002760BC"/>
    <w:rsid w:val="0027756E"/>
    <w:rsid w:val="00277692"/>
    <w:rsid w:val="00280026"/>
    <w:rsid w:val="00280085"/>
    <w:rsid w:val="0028020E"/>
    <w:rsid w:val="00280A83"/>
    <w:rsid w:val="00281437"/>
    <w:rsid w:val="0028199E"/>
    <w:rsid w:val="00282112"/>
    <w:rsid w:val="00282FCE"/>
    <w:rsid w:val="0028320C"/>
    <w:rsid w:val="00283F6D"/>
    <w:rsid w:val="002842F9"/>
    <w:rsid w:val="00284460"/>
    <w:rsid w:val="002854A3"/>
    <w:rsid w:val="002856C7"/>
    <w:rsid w:val="00286336"/>
    <w:rsid w:val="00286450"/>
    <w:rsid w:val="00286911"/>
    <w:rsid w:val="00286A99"/>
    <w:rsid w:val="00286B1A"/>
    <w:rsid w:val="00286B3F"/>
    <w:rsid w:val="002876D3"/>
    <w:rsid w:val="002876D9"/>
    <w:rsid w:val="00287F7C"/>
    <w:rsid w:val="0029024D"/>
    <w:rsid w:val="002905E3"/>
    <w:rsid w:val="002909E7"/>
    <w:rsid w:val="00290C26"/>
    <w:rsid w:val="002915D1"/>
    <w:rsid w:val="0029171F"/>
    <w:rsid w:val="00291C76"/>
    <w:rsid w:val="00291F76"/>
    <w:rsid w:val="0029248E"/>
    <w:rsid w:val="00292C03"/>
    <w:rsid w:val="002936E3"/>
    <w:rsid w:val="00293B87"/>
    <w:rsid w:val="00294727"/>
    <w:rsid w:val="00295032"/>
    <w:rsid w:val="0029548B"/>
    <w:rsid w:val="00296E21"/>
    <w:rsid w:val="00297A31"/>
    <w:rsid w:val="00297F2C"/>
    <w:rsid w:val="002A001A"/>
    <w:rsid w:val="002A061B"/>
    <w:rsid w:val="002A09D1"/>
    <w:rsid w:val="002A0A13"/>
    <w:rsid w:val="002A0BF4"/>
    <w:rsid w:val="002A0C6B"/>
    <w:rsid w:val="002A1627"/>
    <w:rsid w:val="002A1EBF"/>
    <w:rsid w:val="002A24A9"/>
    <w:rsid w:val="002A2CB0"/>
    <w:rsid w:val="002A34F8"/>
    <w:rsid w:val="002A3EA8"/>
    <w:rsid w:val="002A4CFD"/>
    <w:rsid w:val="002A4D0A"/>
    <w:rsid w:val="002A53FD"/>
    <w:rsid w:val="002A560F"/>
    <w:rsid w:val="002A58F7"/>
    <w:rsid w:val="002A6181"/>
    <w:rsid w:val="002A69A2"/>
    <w:rsid w:val="002A7241"/>
    <w:rsid w:val="002A767E"/>
    <w:rsid w:val="002A79FB"/>
    <w:rsid w:val="002B0D5E"/>
    <w:rsid w:val="002B0E22"/>
    <w:rsid w:val="002B139B"/>
    <w:rsid w:val="002B1473"/>
    <w:rsid w:val="002B155E"/>
    <w:rsid w:val="002B1A69"/>
    <w:rsid w:val="002B3C4E"/>
    <w:rsid w:val="002B40F8"/>
    <w:rsid w:val="002B4C0D"/>
    <w:rsid w:val="002B4C65"/>
    <w:rsid w:val="002B4D40"/>
    <w:rsid w:val="002B528A"/>
    <w:rsid w:val="002B6062"/>
    <w:rsid w:val="002B62A9"/>
    <w:rsid w:val="002B65E2"/>
    <w:rsid w:val="002B69FA"/>
    <w:rsid w:val="002B6B75"/>
    <w:rsid w:val="002B6C54"/>
    <w:rsid w:val="002B76A8"/>
    <w:rsid w:val="002B7C7F"/>
    <w:rsid w:val="002C03B8"/>
    <w:rsid w:val="002C055D"/>
    <w:rsid w:val="002C0BE2"/>
    <w:rsid w:val="002C0DDC"/>
    <w:rsid w:val="002C12A7"/>
    <w:rsid w:val="002C14A2"/>
    <w:rsid w:val="002C1BA8"/>
    <w:rsid w:val="002C2105"/>
    <w:rsid w:val="002C249B"/>
    <w:rsid w:val="002C299F"/>
    <w:rsid w:val="002C29F7"/>
    <w:rsid w:val="002C2E02"/>
    <w:rsid w:val="002C361D"/>
    <w:rsid w:val="002C3F96"/>
    <w:rsid w:val="002C461A"/>
    <w:rsid w:val="002C48B9"/>
    <w:rsid w:val="002C4BCF"/>
    <w:rsid w:val="002C4D4D"/>
    <w:rsid w:val="002C51BB"/>
    <w:rsid w:val="002C5EB4"/>
    <w:rsid w:val="002C5F1E"/>
    <w:rsid w:val="002C66E4"/>
    <w:rsid w:val="002C7221"/>
    <w:rsid w:val="002C7700"/>
    <w:rsid w:val="002C78BD"/>
    <w:rsid w:val="002C7A72"/>
    <w:rsid w:val="002D0207"/>
    <w:rsid w:val="002D0232"/>
    <w:rsid w:val="002D068E"/>
    <w:rsid w:val="002D08A1"/>
    <w:rsid w:val="002D08D9"/>
    <w:rsid w:val="002D0C9A"/>
    <w:rsid w:val="002D0F58"/>
    <w:rsid w:val="002D10DE"/>
    <w:rsid w:val="002D12B4"/>
    <w:rsid w:val="002D21F5"/>
    <w:rsid w:val="002D27F1"/>
    <w:rsid w:val="002D30E2"/>
    <w:rsid w:val="002D33FE"/>
    <w:rsid w:val="002D3CA9"/>
    <w:rsid w:val="002D3DCA"/>
    <w:rsid w:val="002D55D9"/>
    <w:rsid w:val="002D6579"/>
    <w:rsid w:val="002D669D"/>
    <w:rsid w:val="002D67A1"/>
    <w:rsid w:val="002D69AF"/>
    <w:rsid w:val="002D79C5"/>
    <w:rsid w:val="002E0182"/>
    <w:rsid w:val="002E07C5"/>
    <w:rsid w:val="002E1B16"/>
    <w:rsid w:val="002E2A39"/>
    <w:rsid w:val="002E2A4B"/>
    <w:rsid w:val="002E2DD9"/>
    <w:rsid w:val="002E2FE5"/>
    <w:rsid w:val="002E37D8"/>
    <w:rsid w:val="002E3A32"/>
    <w:rsid w:val="002E3A53"/>
    <w:rsid w:val="002E3C2F"/>
    <w:rsid w:val="002E3D00"/>
    <w:rsid w:val="002E45E7"/>
    <w:rsid w:val="002E46CC"/>
    <w:rsid w:val="002E4B01"/>
    <w:rsid w:val="002E55A8"/>
    <w:rsid w:val="002E5998"/>
    <w:rsid w:val="002E5CDC"/>
    <w:rsid w:val="002E69C4"/>
    <w:rsid w:val="002E6AAF"/>
    <w:rsid w:val="002E6CED"/>
    <w:rsid w:val="002E6DB5"/>
    <w:rsid w:val="002E75DD"/>
    <w:rsid w:val="002E798A"/>
    <w:rsid w:val="002E7B3F"/>
    <w:rsid w:val="002F07AA"/>
    <w:rsid w:val="002F07B0"/>
    <w:rsid w:val="002F0DF2"/>
    <w:rsid w:val="002F16CD"/>
    <w:rsid w:val="002F21A5"/>
    <w:rsid w:val="002F2235"/>
    <w:rsid w:val="002F299C"/>
    <w:rsid w:val="002F302F"/>
    <w:rsid w:val="002F30C0"/>
    <w:rsid w:val="002F34AD"/>
    <w:rsid w:val="002F35BE"/>
    <w:rsid w:val="002F40A8"/>
    <w:rsid w:val="002F42A9"/>
    <w:rsid w:val="002F4CCB"/>
    <w:rsid w:val="002F583C"/>
    <w:rsid w:val="002F5A98"/>
    <w:rsid w:val="002F6038"/>
    <w:rsid w:val="002F6C64"/>
    <w:rsid w:val="002F6F0E"/>
    <w:rsid w:val="002F750D"/>
    <w:rsid w:val="002F767E"/>
    <w:rsid w:val="002F7B71"/>
    <w:rsid w:val="002F7F91"/>
    <w:rsid w:val="003000A7"/>
    <w:rsid w:val="00300119"/>
    <w:rsid w:val="00300445"/>
    <w:rsid w:val="00302358"/>
    <w:rsid w:val="0030261C"/>
    <w:rsid w:val="00302F7F"/>
    <w:rsid w:val="00303468"/>
    <w:rsid w:val="003034E3"/>
    <w:rsid w:val="00303DFD"/>
    <w:rsid w:val="00304208"/>
    <w:rsid w:val="00304C95"/>
    <w:rsid w:val="00304EB7"/>
    <w:rsid w:val="00306AF8"/>
    <w:rsid w:val="00307343"/>
    <w:rsid w:val="003077E5"/>
    <w:rsid w:val="00307FB1"/>
    <w:rsid w:val="0031003F"/>
    <w:rsid w:val="00310933"/>
    <w:rsid w:val="00310A51"/>
    <w:rsid w:val="00310C14"/>
    <w:rsid w:val="00310D6E"/>
    <w:rsid w:val="0031176D"/>
    <w:rsid w:val="00311B97"/>
    <w:rsid w:val="00311DFD"/>
    <w:rsid w:val="00312193"/>
    <w:rsid w:val="00312B80"/>
    <w:rsid w:val="00312CA0"/>
    <w:rsid w:val="00312D73"/>
    <w:rsid w:val="00313A47"/>
    <w:rsid w:val="00313E61"/>
    <w:rsid w:val="0031443C"/>
    <w:rsid w:val="00314690"/>
    <w:rsid w:val="003148E1"/>
    <w:rsid w:val="00314963"/>
    <w:rsid w:val="00315545"/>
    <w:rsid w:val="00315817"/>
    <w:rsid w:val="00315FAC"/>
    <w:rsid w:val="00316261"/>
    <w:rsid w:val="003167F1"/>
    <w:rsid w:val="00316E03"/>
    <w:rsid w:val="003171FF"/>
    <w:rsid w:val="00317297"/>
    <w:rsid w:val="00317AE6"/>
    <w:rsid w:val="00317D78"/>
    <w:rsid w:val="003203AA"/>
    <w:rsid w:val="0032058D"/>
    <w:rsid w:val="003206B3"/>
    <w:rsid w:val="00321031"/>
    <w:rsid w:val="0032145A"/>
    <w:rsid w:val="003217B2"/>
    <w:rsid w:val="003232B0"/>
    <w:rsid w:val="00323314"/>
    <w:rsid w:val="003237FF"/>
    <w:rsid w:val="003238EB"/>
    <w:rsid w:val="00324335"/>
    <w:rsid w:val="00324933"/>
    <w:rsid w:val="00324C34"/>
    <w:rsid w:val="00324E3D"/>
    <w:rsid w:val="00325BFA"/>
    <w:rsid w:val="003269B4"/>
    <w:rsid w:val="00326A7F"/>
    <w:rsid w:val="00326BFB"/>
    <w:rsid w:val="0032752F"/>
    <w:rsid w:val="003309DA"/>
    <w:rsid w:val="00330F48"/>
    <w:rsid w:val="00331701"/>
    <w:rsid w:val="003328AA"/>
    <w:rsid w:val="00333402"/>
    <w:rsid w:val="003339DF"/>
    <w:rsid w:val="00333B5B"/>
    <w:rsid w:val="00334699"/>
    <w:rsid w:val="00334A61"/>
    <w:rsid w:val="00334E41"/>
    <w:rsid w:val="0033599D"/>
    <w:rsid w:val="00335A48"/>
    <w:rsid w:val="00335C3D"/>
    <w:rsid w:val="00335F7D"/>
    <w:rsid w:val="003364B4"/>
    <w:rsid w:val="00336A5A"/>
    <w:rsid w:val="00337011"/>
    <w:rsid w:val="00337351"/>
    <w:rsid w:val="003406AA"/>
    <w:rsid w:val="00341036"/>
    <w:rsid w:val="00342327"/>
    <w:rsid w:val="0034285E"/>
    <w:rsid w:val="00342AF9"/>
    <w:rsid w:val="00342BB3"/>
    <w:rsid w:val="0034337C"/>
    <w:rsid w:val="003433DE"/>
    <w:rsid w:val="00343B1B"/>
    <w:rsid w:val="00343BB3"/>
    <w:rsid w:val="00343CCC"/>
    <w:rsid w:val="0034405B"/>
    <w:rsid w:val="003443CB"/>
    <w:rsid w:val="003447E7"/>
    <w:rsid w:val="00344D10"/>
    <w:rsid w:val="00344E17"/>
    <w:rsid w:val="003455CF"/>
    <w:rsid w:val="00345A6D"/>
    <w:rsid w:val="00345FBF"/>
    <w:rsid w:val="00347389"/>
    <w:rsid w:val="00347ACA"/>
    <w:rsid w:val="00347E39"/>
    <w:rsid w:val="00347FC9"/>
    <w:rsid w:val="00350C87"/>
    <w:rsid w:val="00351505"/>
    <w:rsid w:val="00351B75"/>
    <w:rsid w:val="00351B81"/>
    <w:rsid w:val="0035200E"/>
    <w:rsid w:val="00352370"/>
    <w:rsid w:val="00352539"/>
    <w:rsid w:val="00352543"/>
    <w:rsid w:val="00352C7C"/>
    <w:rsid w:val="003537F3"/>
    <w:rsid w:val="00353EA7"/>
    <w:rsid w:val="00354054"/>
    <w:rsid w:val="003547E4"/>
    <w:rsid w:val="00354C3A"/>
    <w:rsid w:val="00354DFA"/>
    <w:rsid w:val="003551B9"/>
    <w:rsid w:val="003554C1"/>
    <w:rsid w:val="00355517"/>
    <w:rsid w:val="00355636"/>
    <w:rsid w:val="00355A22"/>
    <w:rsid w:val="00356781"/>
    <w:rsid w:val="003567E2"/>
    <w:rsid w:val="00356AB8"/>
    <w:rsid w:val="0035759A"/>
    <w:rsid w:val="00357A9D"/>
    <w:rsid w:val="00357C8D"/>
    <w:rsid w:val="00357DD0"/>
    <w:rsid w:val="003601FD"/>
    <w:rsid w:val="0036037D"/>
    <w:rsid w:val="00361342"/>
    <w:rsid w:val="00361D59"/>
    <w:rsid w:val="003624C6"/>
    <w:rsid w:val="00362A49"/>
    <w:rsid w:val="00362C1F"/>
    <w:rsid w:val="003630C9"/>
    <w:rsid w:val="003634D2"/>
    <w:rsid w:val="00363C65"/>
    <w:rsid w:val="00364395"/>
    <w:rsid w:val="00364FE8"/>
    <w:rsid w:val="003650E2"/>
    <w:rsid w:val="0036537C"/>
    <w:rsid w:val="0036539E"/>
    <w:rsid w:val="00365527"/>
    <w:rsid w:val="00365A99"/>
    <w:rsid w:val="00365DE7"/>
    <w:rsid w:val="00366B71"/>
    <w:rsid w:val="00366BCF"/>
    <w:rsid w:val="003671B8"/>
    <w:rsid w:val="003672A3"/>
    <w:rsid w:val="0036783F"/>
    <w:rsid w:val="003704E6"/>
    <w:rsid w:val="00370535"/>
    <w:rsid w:val="003706B6"/>
    <w:rsid w:val="00370A18"/>
    <w:rsid w:val="00370B76"/>
    <w:rsid w:val="00370D92"/>
    <w:rsid w:val="00370E84"/>
    <w:rsid w:val="00370EBD"/>
    <w:rsid w:val="0037108B"/>
    <w:rsid w:val="00371ED0"/>
    <w:rsid w:val="003726F5"/>
    <w:rsid w:val="003735AF"/>
    <w:rsid w:val="003739A9"/>
    <w:rsid w:val="00374398"/>
    <w:rsid w:val="00374515"/>
    <w:rsid w:val="0037468A"/>
    <w:rsid w:val="00374B52"/>
    <w:rsid w:val="003754CA"/>
    <w:rsid w:val="0037655A"/>
    <w:rsid w:val="00380925"/>
    <w:rsid w:val="0038138C"/>
    <w:rsid w:val="00381675"/>
    <w:rsid w:val="00381868"/>
    <w:rsid w:val="00382E2A"/>
    <w:rsid w:val="003836E3"/>
    <w:rsid w:val="00383E1E"/>
    <w:rsid w:val="00384082"/>
    <w:rsid w:val="003840E2"/>
    <w:rsid w:val="00384BD3"/>
    <w:rsid w:val="00384EC2"/>
    <w:rsid w:val="00385278"/>
    <w:rsid w:val="00385671"/>
    <w:rsid w:val="00385DFE"/>
    <w:rsid w:val="0038600E"/>
    <w:rsid w:val="0038664E"/>
    <w:rsid w:val="00386848"/>
    <w:rsid w:val="00386E7B"/>
    <w:rsid w:val="0038730B"/>
    <w:rsid w:val="00390013"/>
    <w:rsid w:val="003902D2"/>
    <w:rsid w:val="00390AFE"/>
    <w:rsid w:val="00390BC7"/>
    <w:rsid w:val="00390CE3"/>
    <w:rsid w:val="00391691"/>
    <w:rsid w:val="00391886"/>
    <w:rsid w:val="003918BA"/>
    <w:rsid w:val="0039200A"/>
    <w:rsid w:val="00392B0B"/>
    <w:rsid w:val="0039391A"/>
    <w:rsid w:val="00393D86"/>
    <w:rsid w:val="0039426D"/>
    <w:rsid w:val="0039438C"/>
    <w:rsid w:val="0039450C"/>
    <w:rsid w:val="0039466B"/>
    <w:rsid w:val="00394E52"/>
    <w:rsid w:val="0039536D"/>
    <w:rsid w:val="00395590"/>
    <w:rsid w:val="00395B2B"/>
    <w:rsid w:val="00395C8A"/>
    <w:rsid w:val="003960D8"/>
    <w:rsid w:val="0039627D"/>
    <w:rsid w:val="00396790"/>
    <w:rsid w:val="00396822"/>
    <w:rsid w:val="00396FD9"/>
    <w:rsid w:val="00397C72"/>
    <w:rsid w:val="003A0AC7"/>
    <w:rsid w:val="003A0B5C"/>
    <w:rsid w:val="003A1027"/>
    <w:rsid w:val="003A166C"/>
    <w:rsid w:val="003A1881"/>
    <w:rsid w:val="003A19CA"/>
    <w:rsid w:val="003A1CE2"/>
    <w:rsid w:val="003A27C7"/>
    <w:rsid w:val="003A3019"/>
    <w:rsid w:val="003A3306"/>
    <w:rsid w:val="003A3426"/>
    <w:rsid w:val="003A3481"/>
    <w:rsid w:val="003A363A"/>
    <w:rsid w:val="003A408B"/>
    <w:rsid w:val="003A4A0E"/>
    <w:rsid w:val="003A4ADA"/>
    <w:rsid w:val="003A4F30"/>
    <w:rsid w:val="003A5E1A"/>
    <w:rsid w:val="003A5F45"/>
    <w:rsid w:val="003A77CB"/>
    <w:rsid w:val="003A7B28"/>
    <w:rsid w:val="003A7CB4"/>
    <w:rsid w:val="003A7F78"/>
    <w:rsid w:val="003B00A5"/>
    <w:rsid w:val="003B0923"/>
    <w:rsid w:val="003B0AC6"/>
    <w:rsid w:val="003B0B5A"/>
    <w:rsid w:val="003B0D8B"/>
    <w:rsid w:val="003B10A9"/>
    <w:rsid w:val="003B15F4"/>
    <w:rsid w:val="003B1C0E"/>
    <w:rsid w:val="003B1C53"/>
    <w:rsid w:val="003B2325"/>
    <w:rsid w:val="003B3DB6"/>
    <w:rsid w:val="003B447F"/>
    <w:rsid w:val="003B4577"/>
    <w:rsid w:val="003B48D4"/>
    <w:rsid w:val="003B4F37"/>
    <w:rsid w:val="003B53E9"/>
    <w:rsid w:val="003B5CC3"/>
    <w:rsid w:val="003B6226"/>
    <w:rsid w:val="003B6363"/>
    <w:rsid w:val="003B6C28"/>
    <w:rsid w:val="003B74F8"/>
    <w:rsid w:val="003B78E2"/>
    <w:rsid w:val="003B7BE8"/>
    <w:rsid w:val="003B7DCB"/>
    <w:rsid w:val="003C066C"/>
    <w:rsid w:val="003C12B7"/>
    <w:rsid w:val="003C18B0"/>
    <w:rsid w:val="003C1934"/>
    <w:rsid w:val="003C1E0F"/>
    <w:rsid w:val="003C250A"/>
    <w:rsid w:val="003C2604"/>
    <w:rsid w:val="003C266C"/>
    <w:rsid w:val="003C29A3"/>
    <w:rsid w:val="003C3634"/>
    <w:rsid w:val="003C3A3B"/>
    <w:rsid w:val="003C3A7F"/>
    <w:rsid w:val="003C4645"/>
    <w:rsid w:val="003C4859"/>
    <w:rsid w:val="003C543A"/>
    <w:rsid w:val="003C6049"/>
    <w:rsid w:val="003C666E"/>
    <w:rsid w:val="003C7012"/>
    <w:rsid w:val="003C750D"/>
    <w:rsid w:val="003C7C22"/>
    <w:rsid w:val="003C7C49"/>
    <w:rsid w:val="003D08AC"/>
    <w:rsid w:val="003D1968"/>
    <w:rsid w:val="003D1A48"/>
    <w:rsid w:val="003D1BA4"/>
    <w:rsid w:val="003D2900"/>
    <w:rsid w:val="003D2C9B"/>
    <w:rsid w:val="003D2F3C"/>
    <w:rsid w:val="003D3021"/>
    <w:rsid w:val="003D3BB0"/>
    <w:rsid w:val="003D3CD8"/>
    <w:rsid w:val="003D4316"/>
    <w:rsid w:val="003D49B5"/>
    <w:rsid w:val="003D5315"/>
    <w:rsid w:val="003D5E0D"/>
    <w:rsid w:val="003D6854"/>
    <w:rsid w:val="003D6DF3"/>
    <w:rsid w:val="003D70D2"/>
    <w:rsid w:val="003D7100"/>
    <w:rsid w:val="003D72C4"/>
    <w:rsid w:val="003D76BA"/>
    <w:rsid w:val="003D796B"/>
    <w:rsid w:val="003E0FDF"/>
    <w:rsid w:val="003E18B9"/>
    <w:rsid w:val="003E1A35"/>
    <w:rsid w:val="003E20EE"/>
    <w:rsid w:val="003E2866"/>
    <w:rsid w:val="003E38BD"/>
    <w:rsid w:val="003E3B16"/>
    <w:rsid w:val="003E3F30"/>
    <w:rsid w:val="003E4744"/>
    <w:rsid w:val="003E5881"/>
    <w:rsid w:val="003E5A4D"/>
    <w:rsid w:val="003E5FB8"/>
    <w:rsid w:val="003E6732"/>
    <w:rsid w:val="003E795D"/>
    <w:rsid w:val="003F0796"/>
    <w:rsid w:val="003F0914"/>
    <w:rsid w:val="003F0A54"/>
    <w:rsid w:val="003F164F"/>
    <w:rsid w:val="003F1715"/>
    <w:rsid w:val="003F1785"/>
    <w:rsid w:val="003F1F74"/>
    <w:rsid w:val="003F27A5"/>
    <w:rsid w:val="003F2837"/>
    <w:rsid w:val="003F2986"/>
    <w:rsid w:val="003F2B34"/>
    <w:rsid w:val="003F2D91"/>
    <w:rsid w:val="003F307B"/>
    <w:rsid w:val="003F31C8"/>
    <w:rsid w:val="003F3267"/>
    <w:rsid w:val="003F332E"/>
    <w:rsid w:val="003F3771"/>
    <w:rsid w:val="003F49F8"/>
    <w:rsid w:val="003F4A9C"/>
    <w:rsid w:val="003F4D6B"/>
    <w:rsid w:val="003F4DCA"/>
    <w:rsid w:val="003F55F7"/>
    <w:rsid w:val="003F5741"/>
    <w:rsid w:val="003F5844"/>
    <w:rsid w:val="003F5BDE"/>
    <w:rsid w:val="003F5C5D"/>
    <w:rsid w:val="003F5D3F"/>
    <w:rsid w:val="003F5D5C"/>
    <w:rsid w:val="003F5E6B"/>
    <w:rsid w:val="003F64CD"/>
    <w:rsid w:val="003F6BB8"/>
    <w:rsid w:val="003F6D67"/>
    <w:rsid w:val="003F76BF"/>
    <w:rsid w:val="003F7B79"/>
    <w:rsid w:val="003F7BCB"/>
    <w:rsid w:val="0040084E"/>
    <w:rsid w:val="00401524"/>
    <w:rsid w:val="00401632"/>
    <w:rsid w:val="0040175A"/>
    <w:rsid w:val="00401A04"/>
    <w:rsid w:val="00401B1B"/>
    <w:rsid w:val="00401BE7"/>
    <w:rsid w:val="00401F60"/>
    <w:rsid w:val="00402279"/>
    <w:rsid w:val="004023A4"/>
    <w:rsid w:val="00402558"/>
    <w:rsid w:val="00403631"/>
    <w:rsid w:val="004038F4"/>
    <w:rsid w:val="00404172"/>
    <w:rsid w:val="004041F1"/>
    <w:rsid w:val="0040423B"/>
    <w:rsid w:val="00404538"/>
    <w:rsid w:val="004046AC"/>
    <w:rsid w:val="00404CAE"/>
    <w:rsid w:val="00405AC3"/>
    <w:rsid w:val="00405D65"/>
    <w:rsid w:val="00406094"/>
    <w:rsid w:val="00406605"/>
    <w:rsid w:val="00406CD6"/>
    <w:rsid w:val="004072BD"/>
    <w:rsid w:val="00407379"/>
    <w:rsid w:val="00407439"/>
    <w:rsid w:val="00407811"/>
    <w:rsid w:val="00407F82"/>
    <w:rsid w:val="004119E2"/>
    <w:rsid w:val="00412245"/>
    <w:rsid w:val="0041253C"/>
    <w:rsid w:val="00412B40"/>
    <w:rsid w:val="00412C3F"/>
    <w:rsid w:val="00412F2D"/>
    <w:rsid w:val="00414473"/>
    <w:rsid w:val="00414501"/>
    <w:rsid w:val="00414B3C"/>
    <w:rsid w:val="00415007"/>
    <w:rsid w:val="004150B4"/>
    <w:rsid w:val="004158DE"/>
    <w:rsid w:val="004166B9"/>
    <w:rsid w:val="004169A8"/>
    <w:rsid w:val="00416EC5"/>
    <w:rsid w:val="00417104"/>
    <w:rsid w:val="004178A7"/>
    <w:rsid w:val="00417D74"/>
    <w:rsid w:val="00417E45"/>
    <w:rsid w:val="00417EEB"/>
    <w:rsid w:val="00420141"/>
    <w:rsid w:val="00420286"/>
    <w:rsid w:val="0042048C"/>
    <w:rsid w:val="00420972"/>
    <w:rsid w:val="00421029"/>
    <w:rsid w:val="00421B96"/>
    <w:rsid w:val="00421F1F"/>
    <w:rsid w:val="004222B1"/>
    <w:rsid w:val="004223E8"/>
    <w:rsid w:val="004229A4"/>
    <w:rsid w:val="00422CAC"/>
    <w:rsid w:val="00423153"/>
    <w:rsid w:val="00423347"/>
    <w:rsid w:val="00423DC2"/>
    <w:rsid w:val="004243CC"/>
    <w:rsid w:val="00425C6E"/>
    <w:rsid w:val="0042673B"/>
    <w:rsid w:val="00426818"/>
    <w:rsid w:val="00427751"/>
    <w:rsid w:val="00427831"/>
    <w:rsid w:val="00427A22"/>
    <w:rsid w:val="00427A4A"/>
    <w:rsid w:val="00430EB6"/>
    <w:rsid w:val="0043211A"/>
    <w:rsid w:val="00432372"/>
    <w:rsid w:val="00432E88"/>
    <w:rsid w:val="0043405D"/>
    <w:rsid w:val="00434125"/>
    <w:rsid w:val="00434166"/>
    <w:rsid w:val="00434321"/>
    <w:rsid w:val="00434CA7"/>
    <w:rsid w:val="00435355"/>
    <w:rsid w:val="004359C8"/>
    <w:rsid w:val="00435D3B"/>
    <w:rsid w:val="00435F63"/>
    <w:rsid w:val="004360FB"/>
    <w:rsid w:val="00436B17"/>
    <w:rsid w:val="00436F1D"/>
    <w:rsid w:val="00440697"/>
    <w:rsid w:val="004424A7"/>
    <w:rsid w:val="0044281D"/>
    <w:rsid w:val="00442E32"/>
    <w:rsid w:val="00442E7B"/>
    <w:rsid w:val="0044338B"/>
    <w:rsid w:val="004437BF"/>
    <w:rsid w:val="00443A39"/>
    <w:rsid w:val="004440FA"/>
    <w:rsid w:val="00444216"/>
    <w:rsid w:val="0044446E"/>
    <w:rsid w:val="00444E7D"/>
    <w:rsid w:val="00446417"/>
    <w:rsid w:val="00446ABD"/>
    <w:rsid w:val="00446E27"/>
    <w:rsid w:val="00446E94"/>
    <w:rsid w:val="0044715A"/>
    <w:rsid w:val="00447417"/>
    <w:rsid w:val="004477C7"/>
    <w:rsid w:val="00447820"/>
    <w:rsid w:val="004478B2"/>
    <w:rsid w:val="004478B9"/>
    <w:rsid w:val="004500BD"/>
    <w:rsid w:val="004505A1"/>
    <w:rsid w:val="004509FC"/>
    <w:rsid w:val="0045118F"/>
    <w:rsid w:val="0045166F"/>
    <w:rsid w:val="00451AC3"/>
    <w:rsid w:val="0045281B"/>
    <w:rsid w:val="0045281E"/>
    <w:rsid w:val="00452E09"/>
    <w:rsid w:val="004530EC"/>
    <w:rsid w:val="00453499"/>
    <w:rsid w:val="00453888"/>
    <w:rsid w:val="00453B69"/>
    <w:rsid w:val="00453C99"/>
    <w:rsid w:val="004542A7"/>
    <w:rsid w:val="00454369"/>
    <w:rsid w:val="004548A3"/>
    <w:rsid w:val="004558C4"/>
    <w:rsid w:val="00455932"/>
    <w:rsid w:val="00455B5B"/>
    <w:rsid w:val="0045621D"/>
    <w:rsid w:val="004564B3"/>
    <w:rsid w:val="00456C0B"/>
    <w:rsid w:val="00456F2A"/>
    <w:rsid w:val="00457545"/>
    <w:rsid w:val="004617F0"/>
    <w:rsid w:val="004618A3"/>
    <w:rsid w:val="004618E0"/>
    <w:rsid w:val="00462D41"/>
    <w:rsid w:val="00462EA9"/>
    <w:rsid w:val="00462F3C"/>
    <w:rsid w:val="004635EC"/>
    <w:rsid w:val="00463AE2"/>
    <w:rsid w:val="004643BE"/>
    <w:rsid w:val="004643D6"/>
    <w:rsid w:val="004661A7"/>
    <w:rsid w:val="004667A3"/>
    <w:rsid w:val="00467B68"/>
    <w:rsid w:val="00467E9E"/>
    <w:rsid w:val="0047001D"/>
    <w:rsid w:val="0047022E"/>
    <w:rsid w:val="004711B5"/>
    <w:rsid w:val="00471629"/>
    <w:rsid w:val="00471793"/>
    <w:rsid w:val="00471CE8"/>
    <w:rsid w:val="0047291B"/>
    <w:rsid w:val="00474CD8"/>
    <w:rsid w:val="0047500A"/>
    <w:rsid w:val="0047586A"/>
    <w:rsid w:val="0047679A"/>
    <w:rsid w:val="00476CB1"/>
    <w:rsid w:val="0047707B"/>
    <w:rsid w:val="0047734B"/>
    <w:rsid w:val="004777D2"/>
    <w:rsid w:val="00477832"/>
    <w:rsid w:val="004779B5"/>
    <w:rsid w:val="00480450"/>
    <w:rsid w:val="0048075F"/>
    <w:rsid w:val="0048162D"/>
    <w:rsid w:val="00481750"/>
    <w:rsid w:val="00481953"/>
    <w:rsid w:val="00481C7C"/>
    <w:rsid w:val="00481D48"/>
    <w:rsid w:val="0048334E"/>
    <w:rsid w:val="0048361A"/>
    <w:rsid w:val="004836D5"/>
    <w:rsid w:val="00483DB9"/>
    <w:rsid w:val="004850F6"/>
    <w:rsid w:val="00485676"/>
    <w:rsid w:val="004863C7"/>
    <w:rsid w:val="00486DC6"/>
    <w:rsid w:val="00486FD3"/>
    <w:rsid w:val="00487782"/>
    <w:rsid w:val="00487CEA"/>
    <w:rsid w:val="00487DFA"/>
    <w:rsid w:val="004903EB"/>
    <w:rsid w:val="0049042A"/>
    <w:rsid w:val="00490473"/>
    <w:rsid w:val="00490768"/>
    <w:rsid w:val="004917B6"/>
    <w:rsid w:val="0049232D"/>
    <w:rsid w:val="00492517"/>
    <w:rsid w:val="00492C10"/>
    <w:rsid w:val="00492D65"/>
    <w:rsid w:val="004937DD"/>
    <w:rsid w:val="004938CF"/>
    <w:rsid w:val="004939BB"/>
    <w:rsid w:val="004945AF"/>
    <w:rsid w:val="00495006"/>
    <w:rsid w:val="00495219"/>
    <w:rsid w:val="00495A34"/>
    <w:rsid w:val="00495E4E"/>
    <w:rsid w:val="004967AC"/>
    <w:rsid w:val="004968F6"/>
    <w:rsid w:val="004971C5"/>
    <w:rsid w:val="00497348"/>
    <w:rsid w:val="004A0070"/>
    <w:rsid w:val="004A07A7"/>
    <w:rsid w:val="004A1220"/>
    <w:rsid w:val="004A12BE"/>
    <w:rsid w:val="004A1891"/>
    <w:rsid w:val="004A20D5"/>
    <w:rsid w:val="004A2344"/>
    <w:rsid w:val="004A4090"/>
    <w:rsid w:val="004A463A"/>
    <w:rsid w:val="004A4F54"/>
    <w:rsid w:val="004A6966"/>
    <w:rsid w:val="004A6A15"/>
    <w:rsid w:val="004A6C6F"/>
    <w:rsid w:val="004A7025"/>
    <w:rsid w:val="004A7C87"/>
    <w:rsid w:val="004A7D94"/>
    <w:rsid w:val="004A7E50"/>
    <w:rsid w:val="004B01D3"/>
    <w:rsid w:val="004B0580"/>
    <w:rsid w:val="004B173C"/>
    <w:rsid w:val="004B1A9B"/>
    <w:rsid w:val="004B21BC"/>
    <w:rsid w:val="004B25CB"/>
    <w:rsid w:val="004B2D02"/>
    <w:rsid w:val="004B3AEB"/>
    <w:rsid w:val="004B4110"/>
    <w:rsid w:val="004B4222"/>
    <w:rsid w:val="004B432E"/>
    <w:rsid w:val="004B4B14"/>
    <w:rsid w:val="004B4DED"/>
    <w:rsid w:val="004B59D1"/>
    <w:rsid w:val="004B6270"/>
    <w:rsid w:val="004B66CE"/>
    <w:rsid w:val="004B674E"/>
    <w:rsid w:val="004B6DC2"/>
    <w:rsid w:val="004B7105"/>
    <w:rsid w:val="004B79F5"/>
    <w:rsid w:val="004B7D51"/>
    <w:rsid w:val="004B7E09"/>
    <w:rsid w:val="004C06AA"/>
    <w:rsid w:val="004C145C"/>
    <w:rsid w:val="004C15DC"/>
    <w:rsid w:val="004C16C2"/>
    <w:rsid w:val="004C1EAE"/>
    <w:rsid w:val="004C2320"/>
    <w:rsid w:val="004C2C20"/>
    <w:rsid w:val="004C2E0B"/>
    <w:rsid w:val="004C2EE5"/>
    <w:rsid w:val="004C3EA4"/>
    <w:rsid w:val="004C46A2"/>
    <w:rsid w:val="004C53F3"/>
    <w:rsid w:val="004C5DD5"/>
    <w:rsid w:val="004C5EA8"/>
    <w:rsid w:val="004C665A"/>
    <w:rsid w:val="004C6DFF"/>
    <w:rsid w:val="004C70CD"/>
    <w:rsid w:val="004C714C"/>
    <w:rsid w:val="004C73B9"/>
    <w:rsid w:val="004C7ACA"/>
    <w:rsid w:val="004C7B45"/>
    <w:rsid w:val="004D0279"/>
    <w:rsid w:val="004D0904"/>
    <w:rsid w:val="004D0F0B"/>
    <w:rsid w:val="004D11CF"/>
    <w:rsid w:val="004D1A14"/>
    <w:rsid w:val="004D1EF5"/>
    <w:rsid w:val="004D1FAB"/>
    <w:rsid w:val="004D25FC"/>
    <w:rsid w:val="004D27DC"/>
    <w:rsid w:val="004D28E4"/>
    <w:rsid w:val="004D2C28"/>
    <w:rsid w:val="004D2E9A"/>
    <w:rsid w:val="004D397D"/>
    <w:rsid w:val="004D41AC"/>
    <w:rsid w:val="004D47D4"/>
    <w:rsid w:val="004D4892"/>
    <w:rsid w:val="004D4F9A"/>
    <w:rsid w:val="004D52F1"/>
    <w:rsid w:val="004D53A4"/>
    <w:rsid w:val="004D5778"/>
    <w:rsid w:val="004D588D"/>
    <w:rsid w:val="004D5CA3"/>
    <w:rsid w:val="004D6A60"/>
    <w:rsid w:val="004D6C05"/>
    <w:rsid w:val="004D6DBA"/>
    <w:rsid w:val="004D758F"/>
    <w:rsid w:val="004D7921"/>
    <w:rsid w:val="004E039E"/>
    <w:rsid w:val="004E1095"/>
    <w:rsid w:val="004E1A13"/>
    <w:rsid w:val="004E2D41"/>
    <w:rsid w:val="004E321F"/>
    <w:rsid w:val="004E3232"/>
    <w:rsid w:val="004E361F"/>
    <w:rsid w:val="004E3872"/>
    <w:rsid w:val="004E38F6"/>
    <w:rsid w:val="004E46D0"/>
    <w:rsid w:val="004E4900"/>
    <w:rsid w:val="004E4BAC"/>
    <w:rsid w:val="004E4F6A"/>
    <w:rsid w:val="004E54A7"/>
    <w:rsid w:val="004E5E00"/>
    <w:rsid w:val="004E5EBC"/>
    <w:rsid w:val="004E5F37"/>
    <w:rsid w:val="004E60EE"/>
    <w:rsid w:val="004E690D"/>
    <w:rsid w:val="004E6DA0"/>
    <w:rsid w:val="004E7A37"/>
    <w:rsid w:val="004E7B41"/>
    <w:rsid w:val="004F01FF"/>
    <w:rsid w:val="004F0437"/>
    <w:rsid w:val="004F0570"/>
    <w:rsid w:val="004F06E7"/>
    <w:rsid w:val="004F0724"/>
    <w:rsid w:val="004F084F"/>
    <w:rsid w:val="004F0AA2"/>
    <w:rsid w:val="004F14F5"/>
    <w:rsid w:val="004F17AC"/>
    <w:rsid w:val="004F1811"/>
    <w:rsid w:val="004F1D92"/>
    <w:rsid w:val="004F1FE4"/>
    <w:rsid w:val="004F2812"/>
    <w:rsid w:val="004F2899"/>
    <w:rsid w:val="004F2C29"/>
    <w:rsid w:val="004F30EB"/>
    <w:rsid w:val="004F3561"/>
    <w:rsid w:val="004F3AB7"/>
    <w:rsid w:val="004F470F"/>
    <w:rsid w:val="004F4C6D"/>
    <w:rsid w:val="004F54C6"/>
    <w:rsid w:val="004F6489"/>
    <w:rsid w:val="004F6517"/>
    <w:rsid w:val="004F7D54"/>
    <w:rsid w:val="004F7E03"/>
    <w:rsid w:val="004F7E62"/>
    <w:rsid w:val="0050080A"/>
    <w:rsid w:val="00500C21"/>
    <w:rsid w:val="00500CB1"/>
    <w:rsid w:val="00500FD6"/>
    <w:rsid w:val="005012E8"/>
    <w:rsid w:val="00501503"/>
    <w:rsid w:val="00501C01"/>
    <w:rsid w:val="0050215E"/>
    <w:rsid w:val="005034D7"/>
    <w:rsid w:val="0050359D"/>
    <w:rsid w:val="005035F8"/>
    <w:rsid w:val="005037AC"/>
    <w:rsid w:val="00503B1F"/>
    <w:rsid w:val="00504327"/>
    <w:rsid w:val="0050483D"/>
    <w:rsid w:val="00504ED2"/>
    <w:rsid w:val="0050570D"/>
    <w:rsid w:val="00505A1B"/>
    <w:rsid w:val="00505A79"/>
    <w:rsid w:val="00506023"/>
    <w:rsid w:val="00506112"/>
    <w:rsid w:val="005062B7"/>
    <w:rsid w:val="005065AB"/>
    <w:rsid w:val="005066A2"/>
    <w:rsid w:val="005069A0"/>
    <w:rsid w:val="00506AD2"/>
    <w:rsid w:val="00506BDA"/>
    <w:rsid w:val="005071B7"/>
    <w:rsid w:val="005071D4"/>
    <w:rsid w:val="005072A6"/>
    <w:rsid w:val="0051034E"/>
    <w:rsid w:val="00511207"/>
    <w:rsid w:val="00512AD6"/>
    <w:rsid w:val="00513362"/>
    <w:rsid w:val="00513BD2"/>
    <w:rsid w:val="00513D1A"/>
    <w:rsid w:val="005140EC"/>
    <w:rsid w:val="005141CC"/>
    <w:rsid w:val="00514202"/>
    <w:rsid w:val="00514667"/>
    <w:rsid w:val="005146DB"/>
    <w:rsid w:val="00514809"/>
    <w:rsid w:val="00514A71"/>
    <w:rsid w:val="00514B6E"/>
    <w:rsid w:val="005150A6"/>
    <w:rsid w:val="00515A09"/>
    <w:rsid w:val="00515BEF"/>
    <w:rsid w:val="0051652C"/>
    <w:rsid w:val="00516775"/>
    <w:rsid w:val="00516D67"/>
    <w:rsid w:val="0051706B"/>
    <w:rsid w:val="005175C1"/>
    <w:rsid w:val="0051785A"/>
    <w:rsid w:val="00517A42"/>
    <w:rsid w:val="00517AE1"/>
    <w:rsid w:val="00517C5B"/>
    <w:rsid w:val="00517D11"/>
    <w:rsid w:val="00517E3E"/>
    <w:rsid w:val="005212CE"/>
    <w:rsid w:val="0052130B"/>
    <w:rsid w:val="00521A2E"/>
    <w:rsid w:val="0052204B"/>
    <w:rsid w:val="0052258E"/>
    <w:rsid w:val="00522679"/>
    <w:rsid w:val="00522908"/>
    <w:rsid w:val="00522CF1"/>
    <w:rsid w:val="005230E3"/>
    <w:rsid w:val="00523199"/>
    <w:rsid w:val="00523973"/>
    <w:rsid w:val="00523A89"/>
    <w:rsid w:val="00523C58"/>
    <w:rsid w:val="00523C7B"/>
    <w:rsid w:val="0052437A"/>
    <w:rsid w:val="00525348"/>
    <w:rsid w:val="005254E8"/>
    <w:rsid w:val="00525D2D"/>
    <w:rsid w:val="0052703A"/>
    <w:rsid w:val="005270E6"/>
    <w:rsid w:val="00527AD7"/>
    <w:rsid w:val="00530E39"/>
    <w:rsid w:val="005312A5"/>
    <w:rsid w:val="00531A25"/>
    <w:rsid w:val="00531E21"/>
    <w:rsid w:val="00532AF0"/>
    <w:rsid w:val="00532ED4"/>
    <w:rsid w:val="005338E9"/>
    <w:rsid w:val="005339F9"/>
    <w:rsid w:val="00533BEA"/>
    <w:rsid w:val="00533EF2"/>
    <w:rsid w:val="0053401D"/>
    <w:rsid w:val="0053402D"/>
    <w:rsid w:val="005344B1"/>
    <w:rsid w:val="005348B3"/>
    <w:rsid w:val="00534936"/>
    <w:rsid w:val="00535256"/>
    <w:rsid w:val="00535629"/>
    <w:rsid w:val="00536194"/>
    <w:rsid w:val="0053759F"/>
    <w:rsid w:val="005375E0"/>
    <w:rsid w:val="005376AB"/>
    <w:rsid w:val="00540208"/>
    <w:rsid w:val="0054050F"/>
    <w:rsid w:val="005410A5"/>
    <w:rsid w:val="005411B5"/>
    <w:rsid w:val="005411B9"/>
    <w:rsid w:val="00541259"/>
    <w:rsid w:val="0054154A"/>
    <w:rsid w:val="00541F50"/>
    <w:rsid w:val="005420E8"/>
    <w:rsid w:val="00542451"/>
    <w:rsid w:val="00542508"/>
    <w:rsid w:val="00543682"/>
    <w:rsid w:val="0054369E"/>
    <w:rsid w:val="00543A54"/>
    <w:rsid w:val="00543BCD"/>
    <w:rsid w:val="00543FB5"/>
    <w:rsid w:val="0054405B"/>
    <w:rsid w:val="0054462C"/>
    <w:rsid w:val="00544E65"/>
    <w:rsid w:val="00544FB9"/>
    <w:rsid w:val="00545616"/>
    <w:rsid w:val="00546317"/>
    <w:rsid w:val="00546383"/>
    <w:rsid w:val="00546CDE"/>
    <w:rsid w:val="00546D3C"/>
    <w:rsid w:val="005479CA"/>
    <w:rsid w:val="00550297"/>
    <w:rsid w:val="0055053E"/>
    <w:rsid w:val="005506EC"/>
    <w:rsid w:val="005507E5"/>
    <w:rsid w:val="00550A04"/>
    <w:rsid w:val="005511B2"/>
    <w:rsid w:val="005511BC"/>
    <w:rsid w:val="005513BE"/>
    <w:rsid w:val="00551D6F"/>
    <w:rsid w:val="00551EE8"/>
    <w:rsid w:val="00552DD0"/>
    <w:rsid w:val="00553F94"/>
    <w:rsid w:val="00554774"/>
    <w:rsid w:val="0055490D"/>
    <w:rsid w:val="005549A4"/>
    <w:rsid w:val="00554CF7"/>
    <w:rsid w:val="00555E70"/>
    <w:rsid w:val="00556199"/>
    <w:rsid w:val="00560143"/>
    <w:rsid w:val="005613E3"/>
    <w:rsid w:val="0056146A"/>
    <w:rsid w:val="00561A43"/>
    <w:rsid w:val="0056212E"/>
    <w:rsid w:val="00562EBA"/>
    <w:rsid w:val="00563125"/>
    <w:rsid w:val="0056394B"/>
    <w:rsid w:val="00563A6B"/>
    <w:rsid w:val="00563B6C"/>
    <w:rsid w:val="00563D0C"/>
    <w:rsid w:val="00563E8B"/>
    <w:rsid w:val="00563F7A"/>
    <w:rsid w:val="00564071"/>
    <w:rsid w:val="00564601"/>
    <w:rsid w:val="0056509A"/>
    <w:rsid w:val="005654B5"/>
    <w:rsid w:val="00565D21"/>
    <w:rsid w:val="005662A8"/>
    <w:rsid w:val="0056660A"/>
    <w:rsid w:val="0056698D"/>
    <w:rsid w:val="00566E23"/>
    <w:rsid w:val="005671CD"/>
    <w:rsid w:val="005673CD"/>
    <w:rsid w:val="005675C2"/>
    <w:rsid w:val="00570F98"/>
    <w:rsid w:val="00570FEF"/>
    <w:rsid w:val="00572E53"/>
    <w:rsid w:val="005738E9"/>
    <w:rsid w:val="00573B5A"/>
    <w:rsid w:val="00573E3C"/>
    <w:rsid w:val="00574969"/>
    <w:rsid w:val="005750BC"/>
    <w:rsid w:val="005756A9"/>
    <w:rsid w:val="00575898"/>
    <w:rsid w:val="005759E9"/>
    <w:rsid w:val="00576147"/>
    <w:rsid w:val="00576CCF"/>
    <w:rsid w:val="00577507"/>
    <w:rsid w:val="00580DA0"/>
    <w:rsid w:val="00580FEC"/>
    <w:rsid w:val="00581098"/>
    <w:rsid w:val="00581A11"/>
    <w:rsid w:val="00581D42"/>
    <w:rsid w:val="00581DFA"/>
    <w:rsid w:val="00582820"/>
    <w:rsid w:val="00583418"/>
    <w:rsid w:val="00584AA2"/>
    <w:rsid w:val="00584AED"/>
    <w:rsid w:val="00584CB3"/>
    <w:rsid w:val="00585574"/>
    <w:rsid w:val="005859D6"/>
    <w:rsid w:val="00585E9A"/>
    <w:rsid w:val="00586710"/>
    <w:rsid w:val="00586BFA"/>
    <w:rsid w:val="00586F1A"/>
    <w:rsid w:val="005877A9"/>
    <w:rsid w:val="00587F6A"/>
    <w:rsid w:val="00587FC8"/>
    <w:rsid w:val="005902CE"/>
    <w:rsid w:val="005906C2"/>
    <w:rsid w:val="00590908"/>
    <w:rsid w:val="00590B00"/>
    <w:rsid w:val="00590E83"/>
    <w:rsid w:val="005913FF"/>
    <w:rsid w:val="005915E2"/>
    <w:rsid w:val="00591B03"/>
    <w:rsid w:val="00591E98"/>
    <w:rsid w:val="00591F16"/>
    <w:rsid w:val="005922EC"/>
    <w:rsid w:val="00592533"/>
    <w:rsid w:val="0059276C"/>
    <w:rsid w:val="00592DB6"/>
    <w:rsid w:val="00592E4E"/>
    <w:rsid w:val="005934C4"/>
    <w:rsid w:val="00593997"/>
    <w:rsid w:val="00593AB7"/>
    <w:rsid w:val="0059487A"/>
    <w:rsid w:val="00594BCB"/>
    <w:rsid w:val="00595C2F"/>
    <w:rsid w:val="00595CBC"/>
    <w:rsid w:val="005966BB"/>
    <w:rsid w:val="00596A92"/>
    <w:rsid w:val="00596AD8"/>
    <w:rsid w:val="00596C25"/>
    <w:rsid w:val="00596ED7"/>
    <w:rsid w:val="00596FF7"/>
    <w:rsid w:val="005972B5"/>
    <w:rsid w:val="005976E7"/>
    <w:rsid w:val="00597D98"/>
    <w:rsid w:val="005A0023"/>
    <w:rsid w:val="005A0A38"/>
    <w:rsid w:val="005A0BC0"/>
    <w:rsid w:val="005A0C7D"/>
    <w:rsid w:val="005A0E6C"/>
    <w:rsid w:val="005A1B04"/>
    <w:rsid w:val="005A25D0"/>
    <w:rsid w:val="005A2BB6"/>
    <w:rsid w:val="005A366F"/>
    <w:rsid w:val="005A4C27"/>
    <w:rsid w:val="005A4C55"/>
    <w:rsid w:val="005A5215"/>
    <w:rsid w:val="005A539A"/>
    <w:rsid w:val="005A54EE"/>
    <w:rsid w:val="005A550B"/>
    <w:rsid w:val="005A56E5"/>
    <w:rsid w:val="005A5BAC"/>
    <w:rsid w:val="005A623C"/>
    <w:rsid w:val="005A62AD"/>
    <w:rsid w:val="005A69A6"/>
    <w:rsid w:val="005A7B5B"/>
    <w:rsid w:val="005B01ED"/>
    <w:rsid w:val="005B01FA"/>
    <w:rsid w:val="005B0208"/>
    <w:rsid w:val="005B029E"/>
    <w:rsid w:val="005B08AF"/>
    <w:rsid w:val="005B09AD"/>
    <w:rsid w:val="005B0A9F"/>
    <w:rsid w:val="005B0E8C"/>
    <w:rsid w:val="005B12FB"/>
    <w:rsid w:val="005B1CC0"/>
    <w:rsid w:val="005B257A"/>
    <w:rsid w:val="005B2A92"/>
    <w:rsid w:val="005B2B3B"/>
    <w:rsid w:val="005B2DE2"/>
    <w:rsid w:val="005B4A3C"/>
    <w:rsid w:val="005B4B19"/>
    <w:rsid w:val="005B4D42"/>
    <w:rsid w:val="005B4D78"/>
    <w:rsid w:val="005B58DF"/>
    <w:rsid w:val="005B5AEC"/>
    <w:rsid w:val="005B5ED1"/>
    <w:rsid w:val="005B6573"/>
    <w:rsid w:val="005B6879"/>
    <w:rsid w:val="005B6E5E"/>
    <w:rsid w:val="005B6F3E"/>
    <w:rsid w:val="005B7B37"/>
    <w:rsid w:val="005C02DC"/>
    <w:rsid w:val="005C0819"/>
    <w:rsid w:val="005C0A50"/>
    <w:rsid w:val="005C0BF3"/>
    <w:rsid w:val="005C0E91"/>
    <w:rsid w:val="005C1384"/>
    <w:rsid w:val="005C1F97"/>
    <w:rsid w:val="005C2197"/>
    <w:rsid w:val="005C2946"/>
    <w:rsid w:val="005C2992"/>
    <w:rsid w:val="005C3125"/>
    <w:rsid w:val="005C31D6"/>
    <w:rsid w:val="005C31E1"/>
    <w:rsid w:val="005C32E4"/>
    <w:rsid w:val="005C339D"/>
    <w:rsid w:val="005C39A0"/>
    <w:rsid w:val="005C3BA3"/>
    <w:rsid w:val="005C3C11"/>
    <w:rsid w:val="005C3D1B"/>
    <w:rsid w:val="005C3F92"/>
    <w:rsid w:val="005C4063"/>
    <w:rsid w:val="005C4405"/>
    <w:rsid w:val="005C453D"/>
    <w:rsid w:val="005C4C33"/>
    <w:rsid w:val="005C4E57"/>
    <w:rsid w:val="005C511F"/>
    <w:rsid w:val="005C55B3"/>
    <w:rsid w:val="005C575B"/>
    <w:rsid w:val="005C5B33"/>
    <w:rsid w:val="005C5EFC"/>
    <w:rsid w:val="005C624F"/>
    <w:rsid w:val="005C6716"/>
    <w:rsid w:val="005C6A57"/>
    <w:rsid w:val="005C7649"/>
    <w:rsid w:val="005D01C9"/>
    <w:rsid w:val="005D0248"/>
    <w:rsid w:val="005D0254"/>
    <w:rsid w:val="005D0460"/>
    <w:rsid w:val="005D1740"/>
    <w:rsid w:val="005D1AC6"/>
    <w:rsid w:val="005D1E37"/>
    <w:rsid w:val="005D23EC"/>
    <w:rsid w:val="005D25E9"/>
    <w:rsid w:val="005D28CD"/>
    <w:rsid w:val="005D2EBD"/>
    <w:rsid w:val="005D3DA0"/>
    <w:rsid w:val="005D43B4"/>
    <w:rsid w:val="005D512C"/>
    <w:rsid w:val="005D60CE"/>
    <w:rsid w:val="005D6514"/>
    <w:rsid w:val="005E0BF9"/>
    <w:rsid w:val="005E0F37"/>
    <w:rsid w:val="005E12BF"/>
    <w:rsid w:val="005E1F15"/>
    <w:rsid w:val="005E247B"/>
    <w:rsid w:val="005E2C21"/>
    <w:rsid w:val="005E36DB"/>
    <w:rsid w:val="005E4019"/>
    <w:rsid w:val="005E401B"/>
    <w:rsid w:val="005E430D"/>
    <w:rsid w:val="005E4316"/>
    <w:rsid w:val="005E5042"/>
    <w:rsid w:val="005E592F"/>
    <w:rsid w:val="005E5C30"/>
    <w:rsid w:val="005E6644"/>
    <w:rsid w:val="005E699F"/>
    <w:rsid w:val="005E6B55"/>
    <w:rsid w:val="005E6E1C"/>
    <w:rsid w:val="005E6EC7"/>
    <w:rsid w:val="005E6EEA"/>
    <w:rsid w:val="005F0054"/>
    <w:rsid w:val="005F0987"/>
    <w:rsid w:val="005F1519"/>
    <w:rsid w:val="005F2151"/>
    <w:rsid w:val="005F2409"/>
    <w:rsid w:val="005F2513"/>
    <w:rsid w:val="005F2535"/>
    <w:rsid w:val="005F2728"/>
    <w:rsid w:val="005F28AD"/>
    <w:rsid w:val="005F2D64"/>
    <w:rsid w:val="005F2E17"/>
    <w:rsid w:val="005F36EF"/>
    <w:rsid w:val="005F3710"/>
    <w:rsid w:val="005F37C7"/>
    <w:rsid w:val="005F38D5"/>
    <w:rsid w:val="005F3931"/>
    <w:rsid w:val="005F3B00"/>
    <w:rsid w:val="005F3CEB"/>
    <w:rsid w:val="005F3D4F"/>
    <w:rsid w:val="005F4107"/>
    <w:rsid w:val="005F431E"/>
    <w:rsid w:val="005F434D"/>
    <w:rsid w:val="005F5042"/>
    <w:rsid w:val="005F52D0"/>
    <w:rsid w:val="005F5539"/>
    <w:rsid w:val="005F5765"/>
    <w:rsid w:val="005F57A0"/>
    <w:rsid w:val="005F5D0A"/>
    <w:rsid w:val="005F5DE4"/>
    <w:rsid w:val="005F6814"/>
    <w:rsid w:val="005F6CF2"/>
    <w:rsid w:val="005F79F7"/>
    <w:rsid w:val="0060029D"/>
    <w:rsid w:val="006005E1"/>
    <w:rsid w:val="006007E8"/>
    <w:rsid w:val="00600EAF"/>
    <w:rsid w:val="0060239A"/>
    <w:rsid w:val="00602A63"/>
    <w:rsid w:val="006034E4"/>
    <w:rsid w:val="0060351A"/>
    <w:rsid w:val="006044C0"/>
    <w:rsid w:val="00604C3B"/>
    <w:rsid w:val="00604DD2"/>
    <w:rsid w:val="00605006"/>
    <w:rsid w:val="00605222"/>
    <w:rsid w:val="00605928"/>
    <w:rsid w:val="00606033"/>
    <w:rsid w:val="0060630E"/>
    <w:rsid w:val="006065C1"/>
    <w:rsid w:val="0060712C"/>
    <w:rsid w:val="0060720E"/>
    <w:rsid w:val="006075DE"/>
    <w:rsid w:val="00607712"/>
    <w:rsid w:val="00607F79"/>
    <w:rsid w:val="00610D59"/>
    <w:rsid w:val="006110C7"/>
    <w:rsid w:val="00611F7C"/>
    <w:rsid w:val="00612EC2"/>
    <w:rsid w:val="00613394"/>
    <w:rsid w:val="00615101"/>
    <w:rsid w:val="006174C4"/>
    <w:rsid w:val="00617576"/>
    <w:rsid w:val="00617792"/>
    <w:rsid w:val="0061794A"/>
    <w:rsid w:val="00617C19"/>
    <w:rsid w:val="00617D41"/>
    <w:rsid w:val="006200E2"/>
    <w:rsid w:val="006209DE"/>
    <w:rsid w:val="00620A75"/>
    <w:rsid w:val="006214FD"/>
    <w:rsid w:val="00621BB7"/>
    <w:rsid w:val="00621CD5"/>
    <w:rsid w:val="0062206C"/>
    <w:rsid w:val="00622268"/>
    <w:rsid w:val="00623215"/>
    <w:rsid w:val="00623475"/>
    <w:rsid w:val="0062360A"/>
    <w:rsid w:val="00623833"/>
    <w:rsid w:val="00623B26"/>
    <w:rsid w:val="00623E48"/>
    <w:rsid w:val="00624371"/>
    <w:rsid w:val="00624BD2"/>
    <w:rsid w:val="00625F6E"/>
    <w:rsid w:val="006265E0"/>
    <w:rsid w:val="00626677"/>
    <w:rsid w:val="00626EED"/>
    <w:rsid w:val="006270EF"/>
    <w:rsid w:val="006270FE"/>
    <w:rsid w:val="0062722F"/>
    <w:rsid w:val="00627A60"/>
    <w:rsid w:val="0062C564"/>
    <w:rsid w:val="00630022"/>
    <w:rsid w:val="0063060E"/>
    <w:rsid w:val="00630AC7"/>
    <w:rsid w:val="00630E2F"/>
    <w:rsid w:val="00631C5A"/>
    <w:rsid w:val="00632038"/>
    <w:rsid w:val="006321B0"/>
    <w:rsid w:val="006323D7"/>
    <w:rsid w:val="00632F7B"/>
    <w:rsid w:val="006333F4"/>
    <w:rsid w:val="00634A10"/>
    <w:rsid w:val="00634DD4"/>
    <w:rsid w:val="00635227"/>
    <w:rsid w:val="0063551B"/>
    <w:rsid w:val="0063554B"/>
    <w:rsid w:val="00635B1D"/>
    <w:rsid w:val="00635C96"/>
    <w:rsid w:val="00636281"/>
    <w:rsid w:val="006364B2"/>
    <w:rsid w:val="00636A14"/>
    <w:rsid w:val="00636BEC"/>
    <w:rsid w:val="00636C2E"/>
    <w:rsid w:val="00637808"/>
    <w:rsid w:val="00637A0D"/>
    <w:rsid w:val="00637CCB"/>
    <w:rsid w:val="00640758"/>
    <w:rsid w:val="00641105"/>
    <w:rsid w:val="00642345"/>
    <w:rsid w:val="00642748"/>
    <w:rsid w:val="006428B2"/>
    <w:rsid w:val="00642971"/>
    <w:rsid w:val="00642C3D"/>
    <w:rsid w:val="00642E38"/>
    <w:rsid w:val="00643328"/>
    <w:rsid w:val="006436C2"/>
    <w:rsid w:val="00643B7C"/>
    <w:rsid w:val="00643E15"/>
    <w:rsid w:val="006447B5"/>
    <w:rsid w:val="00645647"/>
    <w:rsid w:val="0064578A"/>
    <w:rsid w:val="0064613E"/>
    <w:rsid w:val="00646163"/>
    <w:rsid w:val="00646352"/>
    <w:rsid w:val="006470ED"/>
    <w:rsid w:val="006507ED"/>
    <w:rsid w:val="00650909"/>
    <w:rsid w:val="00650947"/>
    <w:rsid w:val="006509B7"/>
    <w:rsid w:val="0065100E"/>
    <w:rsid w:val="00651474"/>
    <w:rsid w:val="00651643"/>
    <w:rsid w:val="0065201F"/>
    <w:rsid w:val="00652582"/>
    <w:rsid w:val="00652F19"/>
    <w:rsid w:val="00653524"/>
    <w:rsid w:val="00654020"/>
    <w:rsid w:val="00654165"/>
    <w:rsid w:val="0065457A"/>
    <w:rsid w:val="006547B2"/>
    <w:rsid w:val="006547EF"/>
    <w:rsid w:val="00655687"/>
    <w:rsid w:val="00655D7D"/>
    <w:rsid w:val="0065645F"/>
    <w:rsid w:val="00656D7B"/>
    <w:rsid w:val="006572D5"/>
    <w:rsid w:val="00660704"/>
    <w:rsid w:val="0066074B"/>
    <w:rsid w:val="00660A65"/>
    <w:rsid w:val="006611FF"/>
    <w:rsid w:val="006618FC"/>
    <w:rsid w:val="00661A77"/>
    <w:rsid w:val="00662243"/>
    <w:rsid w:val="006625AB"/>
    <w:rsid w:val="00662BEA"/>
    <w:rsid w:val="0066353B"/>
    <w:rsid w:val="00663584"/>
    <w:rsid w:val="00663675"/>
    <w:rsid w:val="0066367C"/>
    <w:rsid w:val="00663AFA"/>
    <w:rsid w:val="00663EEE"/>
    <w:rsid w:val="00664EB5"/>
    <w:rsid w:val="00665630"/>
    <w:rsid w:val="00665724"/>
    <w:rsid w:val="00665739"/>
    <w:rsid w:val="00665934"/>
    <w:rsid w:val="00665B97"/>
    <w:rsid w:val="0066627F"/>
    <w:rsid w:val="00666685"/>
    <w:rsid w:val="00666BC3"/>
    <w:rsid w:val="00667126"/>
    <w:rsid w:val="00667394"/>
    <w:rsid w:val="00667CD4"/>
    <w:rsid w:val="00670864"/>
    <w:rsid w:val="00670AF4"/>
    <w:rsid w:val="006714A5"/>
    <w:rsid w:val="00671E97"/>
    <w:rsid w:val="00671EC8"/>
    <w:rsid w:val="006727AB"/>
    <w:rsid w:val="00672AAB"/>
    <w:rsid w:val="00672C32"/>
    <w:rsid w:val="00672CBC"/>
    <w:rsid w:val="0067305F"/>
    <w:rsid w:val="0067312B"/>
    <w:rsid w:val="0067338C"/>
    <w:rsid w:val="006736BA"/>
    <w:rsid w:val="00673A67"/>
    <w:rsid w:val="00673F4A"/>
    <w:rsid w:val="00674063"/>
    <w:rsid w:val="00674805"/>
    <w:rsid w:val="00674949"/>
    <w:rsid w:val="00674AB3"/>
    <w:rsid w:val="00674B28"/>
    <w:rsid w:val="00675238"/>
    <w:rsid w:val="00675382"/>
    <w:rsid w:val="006753BE"/>
    <w:rsid w:val="00675E6A"/>
    <w:rsid w:val="00676096"/>
    <w:rsid w:val="006762B1"/>
    <w:rsid w:val="00676865"/>
    <w:rsid w:val="00676F53"/>
    <w:rsid w:val="006772EA"/>
    <w:rsid w:val="0067749D"/>
    <w:rsid w:val="00677859"/>
    <w:rsid w:val="00677898"/>
    <w:rsid w:val="006779E7"/>
    <w:rsid w:val="00680420"/>
    <w:rsid w:val="006804FF"/>
    <w:rsid w:val="00680867"/>
    <w:rsid w:val="006814D7"/>
    <w:rsid w:val="00681623"/>
    <w:rsid w:val="0068212B"/>
    <w:rsid w:val="0068257E"/>
    <w:rsid w:val="0068304C"/>
    <w:rsid w:val="00683A5C"/>
    <w:rsid w:val="0068405D"/>
    <w:rsid w:val="006841C3"/>
    <w:rsid w:val="00684807"/>
    <w:rsid w:val="00684BD5"/>
    <w:rsid w:val="00684C19"/>
    <w:rsid w:val="00684F04"/>
    <w:rsid w:val="00685938"/>
    <w:rsid w:val="00685951"/>
    <w:rsid w:val="00685BFE"/>
    <w:rsid w:val="00685C86"/>
    <w:rsid w:val="0068711D"/>
    <w:rsid w:val="0068754E"/>
    <w:rsid w:val="00687AFA"/>
    <w:rsid w:val="0069030C"/>
    <w:rsid w:val="006907B0"/>
    <w:rsid w:val="00691575"/>
    <w:rsid w:val="00691A1C"/>
    <w:rsid w:val="00691D3D"/>
    <w:rsid w:val="00691FBF"/>
    <w:rsid w:val="00692FB3"/>
    <w:rsid w:val="0069326F"/>
    <w:rsid w:val="00693541"/>
    <w:rsid w:val="0069358F"/>
    <w:rsid w:val="0069378D"/>
    <w:rsid w:val="006941CA"/>
    <w:rsid w:val="006947CB"/>
    <w:rsid w:val="0069496E"/>
    <w:rsid w:val="00694E52"/>
    <w:rsid w:val="00694E9E"/>
    <w:rsid w:val="0069574C"/>
    <w:rsid w:val="006959E4"/>
    <w:rsid w:val="00696247"/>
    <w:rsid w:val="00696910"/>
    <w:rsid w:val="0069697A"/>
    <w:rsid w:val="00696C97"/>
    <w:rsid w:val="00696D97"/>
    <w:rsid w:val="00697179"/>
    <w:rsid w:val="00697409"/>
    <w:rsid w:val="006979D2"/>
    <w:rsid w:val="006A012E"/>
    <w:rsid w:val="006A0249"/>
    <w:rsid w:val="006A04BC"/>
    <w:rsid w:val="006A0656"/>
    <w:rsid w:val="006A109B"/>
    <w:rsid w:val="006A116B"/>
    <w:rsid w:val="006A150B"/>
    <w:rsid w:val="006A1A28"/>
    <w:rsid w:val="006A2427"/>
    <w:rsid w:val="006A257C"/>
    <w:rsid w:val="006A3231"/>
    <w:rsid w:val="006A3285"/>
    <w:rsid w:val="006A3AE9"/>
    <w:rsid w:val="006A3E0E"/>
    <w:rsid w:val="006A4685"/>
    <w:rsid w:val="006A46EC"/>
    <w:rsid w:val="006A4DA6"/>
    <w:rsid w:val="006A4DE8"/>
    <w:rsid w:val="006A5687"/>
    <w:rsid w:val="006A6224"/>
    <w:rsid w:val="006A6638"/>
    <w:rsid w:val="006A6E24"/>
    <w:rsid w:val="006A71BF"/>
    <w:rsid w:val="006A7745"/>
    <w:rsid w:val="006A7997"/>
    <w:rsid w:val="006A7FA3"/>
    <w:rsid w:val="006B04EC"/>
    <w:rsid w:val="006B0B76"/>
    <w:rsid w:val="006B0DE8"/>
    <w:rsid w:val="006B0F28"/>
    <w:rsid w:val="006B1B17"/>
    <w:rsid w:val="006B1B40"/>
    <w:rsid w:val="006B1F02"/>
    <w:rsid w:val="006B1F57"/>
    <w:rsid w:val="006B20FE"/>
    <w:rsid w:val="006B2354"/>
    <w:rsid w:val="006B2704"/>
    <w:rsid w:val="006B2A71"/>
    <w:rsid w:val="006B2FD8"/>
    <w:rsid w:val="006B40DD"/>
    <w:rsid w:val="006B455E"/>
    <w:rsid w:val="006B475D"/>
    <w:rsid w:val="006B48C9"/>
    <w:rsid w:val="006B4A7D"/>
    <w:rsid w:val="006B5390"/>
    <w:rsid w:val="006B589B"/>
    <w:rsid w:val="006B58C0"/>
    <w:rsid w:val="006B5D0A"/>
    <w:rsid w:val="006B5E9E"/>
    <w:rsid w:val="006B70B7"/>
    <w:rsid w:val="006B722A"/>
    <w:rsid w:val="006B73B9"/>
    <w:rsid w:val="006B77FB"/>
    <w:rsid w:val="006B794A"/>
    <w:rsid w:val="006B7A16"/>
    <w:rsid w:val="006C0CB6"/>
    <w:rsid w:val="006C1210"/>
    <w:rsid w:val="006C1719"/>
    <w:rsid w:val="006C1BF1"/>
    <w:rsid w:val="006C1CD0"/>
    <w:rsid w:val="006C1D51"/>
    <w:rsid w:val="006C2E6C"/>
    <w:rsid w:val="006C4366"/>
    <w:rsid w:val="006C474E"/>
    <w:rsid w:val="006C524F"/>
    <w:rsid w:val="006C5641"/>
    <w:rsid w:val="006C57C2"/>
    <w:rsid w:val="006C60D0"/>
    <w:rsid w:val="006C6493"/>
    <w:rsid w:val="006C66E6"/>
    <w:rsid w:val="006C6BFF"/>
    <w:rsid w:val="006C7019"/>
    <w:rsid w:val="006C7714"/>
    <w:rsid w:val="006C7CD7"/>
    <w:rsid w:val="006C7E98"/>
    <w:rsid w:val="006D000B"/>
    <w:rsid w:val="006D108E"/>
    <w:rsid w:val="006D1184"/>
    <w:rsid w:val="006D2116"/>
    <w:rsid w:val="006D2183"/>
    <w:rsid w:val="006D2F64"/>
    <w:rsid w:val="006D3403"/>
    <w:rsid w:val="006D3DD7"/>
    <w:rsid w:val="006D52E5"/>
    <w:rsid w:val="006D5659"/>
    <w:rsid w:val="006D585F"/>
    <w:rsid w:val="006D5A73"/>
    <w:rsid w:val="006D606D"/>
    <w:rsid w:val="006D6071"/>
    <w:rsid w:val="006D67F5"/>
    <w:rsid w:val="006D688D"/>
    <w:rsid w:val="006D6A10"/>
    <w:rsid w:val="006D706E"/>
    <w:rsid w:val="006D70CB"/>
    <w:rsid w:val="006D7838"/>
    <w:rsid w:val="006E0443"/>
    <w:rsid w:val="006E0726"/>
    <w:rsid w:val="006E0880"/>
    <w:rsid w:val="006E1828"/>
    <w:rsid w:val="006E1EB3"/>
    <w:rsid w:val="006E29B9"/>
    <w:rsid w:val="006E2CEB"/>
    <w:rsid w:val="006E347B"/>
    <w:rsid w:val="006E3D75"/>
    <w:rsid w:val="006E4997"/>
    <w:rsid w:val="006E4A45"/>
    <w:rsid w:val="006E4D96"/>
    <w:rsid w:val="006E5106"/>
    <w:rsid w:val="006E5190"/>
    <w:rsid w:val="006E5A69"/>
    <w:rsid w:val="006E5BB4"/>
    <w:rsid w:val="006E5DFD"/>
    <w:rsid w:val="006E644B"/>
    <w:rsid w:val="006E6E4C"/>
    <w:rsid w:val="006E7121"/>
    <w:rsid w:val="006E7468"/>
    <w:rsid w:val="006E762A"/>
    <w:rsid w:val="006E7BF1"/>
    <w:rsid w:val="006E7E30"/>
    <w:rsid w:val="006F009C"/>
    <w:rsid w:val="006F0492"/>
    <w:rsid w:val="006F0E94"/>
    <w:rsid w:val="006F1DDF"/>
    <w:rsid w:val="006F1E3D"/>
    <w:rsid w:val="006F20E3"/>
    <w:rsid w:val="006F22F6"/>
    <w:rsid w:val="006F2F19"/>
    <w:rsid w:val="006F3370"/>
    <w:rsid w:val="006F3493"/>
    <w:rsid w:val="006F4498"/>
    <w:rsid w:val="006F480D"/>
    <w:rsid w:val="006F487C"/>
    <w:rsid w:val="006F4BAB"/>
    <w:rsid w:val="006F4BFD"/>
    <w:rsid w:val="006F4CD0"/>
    <w:rsid w:val="006F501B"/>
    <w:rsid w:val="006F50A9"/>
    <w:rsid w:val="006F55A0"/>
    <w:rsid w:val="006F6515"/>
    <w:rsid w:val="006F671A"/>
    <w:rsid w:val="006F67C3"/>
    <w:rsid w:val="006F686C"/>
    <w:rsid w:val="006F6A1D"/>
    <w:rsid w:val="006F6D41"/>
    <w:rsid w:val="006F799A"/>
    <w:rsid w:val="006F7A25"/>
    <w:rsid w:val="006F7F1C"/>
    <w:rsid w:val="007008AB"/>
    <w:rsid w:val="00700A07"/>
    <w:rsid w:val="00700E1A"/>
    <w:rsid w:val="007013F4"/>
    <w:rsid w:val="00701CA8"/>
    <w:rsid w:val="007021D4"/>
    <w:rsid w:val="00702589"/>
    <w:rsid w:val="00702684"/>
    <w:rsid w:val="00704148"/>
    <w:rsid w:val="007051EC"/>
    <w:rsid w:val="007053F1"/>
    <w:rsid w:val="007056D0"/>
    <w:rsid w:val="00705B45"/>
    <w:rsid w:val="007075B6"/>
    <w:rsid w:val="007078E5"/>
    <w:rsid w:val="007078FD"/>
    <w:rsid w:val="00707C7A"/>
    <w:rsid w:val="00707DA8"/>
    <w:rsid w:val="00710AD7"/>
    <w:rsid w:val="00710C9A"/>
    <w:rsid w:val="00711314"/>
    <w:rsid w:val="00712082"/>
    <w:rsid w:val="007120F5"/>
    <w:rsid w:val="007123CE"/>
    <w:rsid w:val="00712D6F"/>
    <w:rsid w:val="0071306B"/>
    <w:rsid w:val="00713947"/>
    <w:rsid w:val="007143A7"/>
    <w:rsid w:val="0071490C"/>
    <w:rsid w:val="00714FB0"/>
    <w:rsid w:val="00716189"/>
    <w:rsid w:val="007162FD"/>
    <w:rsid w:val="00716E3A"/>
    <w:rsid w:val="007177AA"/>
    <w:rsid w:val="00717BD4"/>
    <w:rsid w:val="00720EE1"/>
    <w:rsid w:val="0072174B"/>
    <w:rsid w:val="0072219F"/>
    <w:rsid w:val="00722B4A"/>
    <w:rsid w:val="0072311B"/>
    <w:rsid w:val="00723761"/>
    <w:rsid w:val="00724398"/>
    <w:rsid w:val="00724729"/>
    <w:rsid w:val="00724C41"/>
    <w:rsid w:val="00724ECA"/>
    <w:rsid w:val="00725274"/>
    <w:rsid w:val="00725795"/>
    <w:rsid w:val="00726B9A"/>
    <w:rsid w:val="007279DF"/>
    <w:rsid w:val="007302E8"/>
    <w:rsid w:val="007303C7"/>
    <w:rsid w:val="007306CB"/>
    <w:rsid w:val="007306D5"/>
    <w:rsid w:val="00730C8F"/>
    <w:rsid w:val="007313F1"/>
    <w:rsid w:val="0073140B"/>
    <w:rsid w:val="00731B2C"/>
    <w:rsid w:val="00731CAA"/>
    <w:rsid w:val="00732533"/>
    <w:rsid w:val="00732D66"/>
    <w:rsid w:val="0073369E"/>
    <w:rsid w:val="007336CE"/>
    <w:rsid w:val="00733A6F"/>
    <w:rsid w:val="007348F4"/>
    <w:rsid w:val="00734EF6"/>
    <w:rsid w:val="00735196"/>
    <w:rsid w:val="007358AC"/>
    <w:rsid w:val="00735F24"/>
    <w:rsid w:val="00736E3E"/>
    <w:rsid w:val="00736ED5"/>
    <w:rsid w:val="007374EA"/>
    <w:rsid w:val="00740625"/>
    <w:rsid w:val="007407F5"/>
    <w:rsid w:val="007411A6"/>
    <w:rsid w:val="007414BB"/>
    <w:rsid w:val="007418A0"/>
    <w:rsid w:val="007418D0"/>
    <w:rsid w:val="007425BF"/>
    <w:rsid w:val="00742A30"/>
    <w:rsid w:val="00742E69"/>
    <w:rsid w:val="00742FE6"/>
    <w:rsid w:val="0074300C"/>
    <w:rsid w:val="00744192"/>
    <w:rsid w:val="00744953"/>
    <w:rsid w:val="0074682F"/>
    <w:rsid w:val="00747107"/>
    <w:rsid w:val="007472B7"/>
    <w:rsid w:val="00747C64"/>
    <w:rsid w:val="00747D8E"/>
    <w:rsid w:val="00750036"/>
    <w:rsid w:val="00750164"/>
    <w:rsid w:val="007504E4"/>
    <w:rsid w:val="007505F2"/>
    <w:rsid w:val="00750840"/>
    <w:rsid w:val="00750980"/>
    <w:rsid w:val="00751AB9"/>
    <w:rsid w:val="00751D70"/>
    <w:rsid w:val="007526BD"/>
    <w:rsid w:val="00752E4D"/>
    <w:rsid w:val="00752EFE"/>
    <w:rsid w:val="00754166"/>
    <w:rsid w:val="007543E0"/>
    <w:rsid w:val="00754B1F"/>
    <w:rsid w:val="00756423"/>
    <w:rsid w:val="007567A6"/>
    <w:rsid w:val="0075691E"/>
    <w:rsid w:val="00756F3C"/>
    <w:rsid w:val="00757750"/>
    <w:rsid w:val="007577CB"/>
    <w:rsid w:val="00757E2E"/>
    <w:rsid w:val="007607EB"/>
    <w:rsid w:val="00760DFE"/>
    <w:rsid w:val="00760EA3"/>
    <w:rsid w:val="0076115F"/>
    <w:rsid w:val="00761255"/>
    <w:rsid w:val="007617AF"/>
    <w:rsid w:val="00761BF3"/>
    <w:rsid w:val="007622F4"/>
    <w:rsid w:val="007629BD"/>
    <w:rsid w:val="00763431"/>
    <w:rsid w:val="0076441F"/>
    <w:rsid w:val="00764FB9"/>
    <w:rsid w:val="00765BF7"/>
    <w:rsid w:val="00766AFD"/>
    <w:rsid w:val="007676B8"/>
    <w:rsid w:val="00767E7C"/>
    <w:rsid w:val="00770253"/>
    <w:rsid w:val="00770340"/>
    <w:rsid w:val="007709F2"/>
    <w:rsid w:val="00770BAE"/>
    <w:rsid w:val="00770BFA"/>
    <w:rsid w:val="00772A67"/>
    <w:rsid w:val="00772FA6"/>
    <w:rsid w:val="00773500"/>
    <w:rsid w:val="007736FF"/>
    <w:rsid w:val="007741D7"/>
    <w:rsid w:val="00774429"/>
    <w:rsid w:val="007748EA"/>
    <w:rsid w:val="00774BFD"/>
    <w:rsid w:val="007752EF"/>
    <w:rsid w:val="00775B05"/>
    <w:rsid w:val="00775BBC"/>
    <w:rsid w:val="00775FAA"/>
    <w:rsid w:val="0077614E"/>
    <w:rsid w:val="0077650C"/>
    <w:rsid w:val="0077678D"/>
    <w:rsid w:val="00777043"/>
    <w:rsid w:val="0077713A"/>
    <w:rsid w:val="0077725A"/>
    <w:rsid w:val="007773E6"/>
    <w:rsid w:val="0077742C"/>
    <w:rsid w:val="00777788"/>
    <w:rsid w:val="00780141"/>
    <w:rsid w:val="007810EC"/>
    <w:rsid w:val="0078195D"/>
    <w:rsid w:val="007819BD"/>
    <w:rsid w:val="00781D37"/>
    <w:rsid w:val="0078235A"/>
    <w:rsid w:val="00782753"/>
    <w:rsid w:val="00782A81"/>
    <w:rsid w:val="007847FC"/>
    <w:rsid w:val="00786CA9"/>
    <w:rsid w:val="00787038"/>
    <w:rsid w:val="007875D0"/>
    <w:rsid w:val="00787719"/>
    <w:rsid w:val="00790125"/>
    <w:rsid w:val="00790F01"/>
    <w:rsid w:val="00791111"/>
    <w:rsid w:val="00791A8A"/>
    <w:rsid w:val="0079281B"/>
    <w:rsid w:val="0079282D"/>
    <w:rsid w:val="00792BFD"/>
    <w:rsid w:val="00792DAA"/>
    <w:rsid w:val="00792EBE"/>
    <w:rsid w:val="00793DDD"/>
    <w:rsid w:val="0079412F"/>
    <w:rsid w:val="00794134"/>
    <w:rsid w:val="007942D8"/>
    <w:rsid w:val="00794AFF"/>
    <w:rsid w:val="007950A1"/>
    <w:rsid w:val="007950BA"/>
    <w:rsid w:val="00795823"/>
    <w:rsid w:val="0079614D"/>
    <w:rsid w:val="00796565"/>
    <w:rsid w:val="0079738C"/>
    <w:rsid w:val="0079792C"/>
    <w:rsid w:val="007A0091"/>
    <w:rsid w:val="007A00AF"/>
    <w:rsid w:val="007A010C"/>
    <w:rsid w:val="007A070E"/>
    <w:rsid w:val="007A134E"/>
    <w:rsid w:val="007A2177"/>
    <w:rsid w:val="007A27DC"/>
    <w:rsid w:val="007A2C00"/>
    <w:rsid w:val="007A2CD9"/>
    <w:rsid w:val="007A323F"/>
    <w:rsid w:val="007A3D79"/>
    <w:rsid w:val="007A4158"/>
    <w:rsid w:val="007A51AC"/>
    <w:rsid w:val="007A6250"/>
    <w:rsid w:val="007A6F7C"/>
    <w:rsid w:val="007A7D33"/>
    <w:rsid w:val="007B04B0"/>
    <w:rsid w:val="007B05B1"/>
    <w:rsid w:val="007B0A8F"/>
    <w:rsid w:val="007B0CAD"/>
    <w:rsid w:val="007B24B7"/>
    <w:rsid w:val="007B3153"/>
    <w:rsid w:val="007B36EF"/>
    <w:rsid w:val="007B3775"/>
    <w:rsid w:val="007B41C6"/>
    <w:rsid w:val="007B4283"/>
    <w:rsid w:val="007B4B60"/>
    <w:rsid w:val="007B4E0B"/>
    <w:rsid w:val="007B5F05"/>
    <w:rsid w:val="007B7399"/>
    <w:rsid w:val="007B73A6"/>
    <w:rsid w:val="007B7599"/>
    <w:rsid w:val="007C00D0"/>
    <w:rsid w:val="007C165D"/>
    <w:rsid w:val="007C1D3F"/>
    <w:rsid w:val="007C3332"/>
    <w:rsid w:val="007C3934"/>
    <w:rsid w:val="007C3E6A"/>
    <w:rsid w:val="007C4050"/>
    <w:rsid w:val="007C40E2"/>
    <w:rsid w:val="007C453C"/>
    <w:rsid w:val="007C4C71"/>
    <w:rsid w:val="007C4D49"/>
    <w:rsid w:val="007C4EE7"/>
    <w:rsid w:val="007C581E"/>
    <w:rsid w:val="007C6010"/>
    <w:rsid w:val="007C603E"/>
    <w:rsid w:val="007C611A"/>
    <w:rsid w:val="007C6D9F"/>
    <w:rsid w:val="007C6FDE"/>
    <w:rsid w:val="007C7940"/>
    <w:rsid w:val="007C7A49"/>
    <w:rsid w:val="007C7AE7"/>
    <w:rsid w:val="007C7E9E"/>
    <w:rsid w:val="007C7FAA"/>
    <w:rsid w:val="007D1207"/>
    <w:rsid w:val="007D19C0"/>
    <w:rsid w:val="007D1F79"/>
    <w:rsid w:val="007D20B9"/>
    <w:rsid w:val="007D2149"/>
    <w:rsid w:val="007D2BFA"/>
    <w:rsid w:val="007D315E"/>
    <w:rsid w:val="007D342C"/>
    <w:rsid w:val="007D3504"/>
    <w:rsid w:val="007D36CD"/>
    <w:rsid w:val="007D3EF0"/>
    <w:rsid w:val="007D4022"/>
    <w:rsid w:val="007D4346"/>
    <w:rsid w:val="007D4E8D"/>
    <w:rsid w:val="007D51C4"/>
    <w:rsid w:val="007D6866"/>
    <w:rsid w:val="007D6A83"/>
    <w:rsid w:val="007D765C"/>
    <w:rsid w:val="007E0D4D"/>
    <w:rsid w:val="007E11B0"/>
    <w:rsid w:val="007E164C"/>
    <w:rsid w:val="007E17E0"/>
    <w:rsid w:val="007E1FA2"/>
    <w:rsid w:val="007E21D4"/>
    <w:rsid w:val="007E24EA"/>
    <w:rsid w:val="007E2541"/>
    <w:rsid w:val="007E2545"/>
    <w:rsid w:val="007E2A16"/>
    <w:rsid w:val="007E307A"/>
    <w:rsid w:val="007E3424"/>
    <w:rsid w:val="007E38C4"/>
    <w:rsid w:val="007E3AFC"/>
    <w:rsid w:val="007E3EE0"/>
    <w:rsid w:val="007E4123"/>
    <w:rsid w:val="007E4154"/>
    <w:rsid w:val="007E4F0C"/>
    <w:rsid w:val="007E4F63"/>
    <w:rsid w:val="007E4FDB"/>
    <w:rsid w:val="007E5B55"/>
    <w:rsid w:val="007E60AF"/>
    <w:rsid w:val="007E66C8"/>
    <w:rsid w:val="007E67C1"/>
    <w:rsid w:val="007F013C"/>
    <w:rsid w:val="007F11AE"/>
    <w:rsid w:val="007F16B4"/>
    <w:rsid w:val="007F1918"/>
    <w:rsid w:val="007F19F9"/>
    <w:rsid w:val="007F1D85"/>
    <w:rsid w:val="007F3868"/>
    <w:rsid w:val="007F3B7C"/>
    <w:rsid w:val="007F3CFD"/>
    <w:rsid w:val="007F3DFA"/>
    <w:rsid w:val="007F4B21"/>
    <w:rsid w:val="007F4CFE"/>
    <w:rsid w:val="007F4D8C"/>
    <w:rsid w:val="007F4E93"/>
    <w:rsid w:val="007F57E2"/>
    <w:rsid w:val="007F5B1B"/>
    <w:rsid w:val="007F6389"/>
    <w:rsid w:val="007F6771"/>
    <w:rsid w:val="007F7279"/>
    <w:rsid w:val="007F7982"/>
    <w:rsid w:val="007F7B3D"/>
    <w:rsid w:val="007F7BD8"/>
    <w:rsid w:val="0080038F"/>
    <w:rsid w:val="00800F51"/>
    <w:rsid w:val="0080110B"/>
    <w:rsid w:val="0080127D"/>
    <w:rsid w:val="0080189C"/>
    <w:rsid w:val="00802E94"/>
    <w:rsid w:val="008039A5"/>
    <w:rsid w:val="00804584"/>
    <w:rsid w:val="00804605"/>
    <w:rsid w:val="00804AB9"/>
    <w:rsid w:val="00805E05"/>
    <w:rsid w:val="00807132"/>
    <w:rsid w:val="00807F75"/>
    <w:rsid w:val="00810120"/>
    <w:rsid w:val="0081046D"/>
    <w:rsid w:val="00810541"/>
    <w:rsid w:val="008109D6"/>
    <w:rsid w:val="00810BA3"/>
    <w:rsid w:val="00810C8F"/>
    <w:rsid w:val="008114CD"/>
    <w:rsid w:val="0081197A"/>
    <w:rsid w:val="008119AA"/>
    <w:rsid w:val="0081201A"/>
    <w:rsid w:val="0081257F"/>
    <w:rsid w:val="0081335B"/>
    <w:rsid w:val="00813528"/>
    <w:rsid w:val="00813D13"/>
    <w:rsid w:val="00813F36"/>
    <w:rsid w:val="008143D4"/>
    <w:rsid w:val="00814448"/>
    <w:rsid w:val="0081446B"/>
    <w:rsid w:val="008145CA"/>
    <w:rsid w:val="00814A7B"/>
    <w:rsid w:val="008152AD"/>
    <w:rsid w:val="00815CD7"/>
    <w:rsid w:val="00815CF6"/>
    <w:rsid w:val="00816109"/>
    <w:rsid w:val="0081653A"/>
    <w:rsid w:val="008169AE"/>
    <w:rsid w:val="00816B4E"/>
    <w:rsid w:val="00816B6E"/>
    <w:rsid w:val="00816C6D"/>
    <w:rsid w:val="00816F73"/>
    <w:rsid w:val="008179AA"/>
    <w:rsid w:val="00817F13"/>
    <w:rsid w:val="00820473"/>
    <w:rsid w:val="008208D6"/>
    <w:rsid w:val="00820A77"/>
    <w:rsid w:val="00820CEC"/>
    <w:rsid w:val="00820DA4"/>
    <w:rsid w:val="00821466"/>
    <w:rsid w:val="00821D0B"/>
    <w:rsid w:val="00821E03"/>
    <w:rsid w:val="00822E35"/>
    <w:rsid w:val="00823165"/>
    <w:rsid w:val="0082317E"/>
    <w:rsid w:val="008231ED"/>
    <w:rsid w:val="00823223"/>
    <w:rsid w:val="0082359C"/>
    <w:rsid w:val="008238D6"/>
    <w:rsid w:val="00823C7F"/>
    <w:rsid w:val="0082443F"/>
    <w:rsid w:val="00824845"/>
    <w:rsid w:val="00824E2F"/>
    <w:rsid w:val="00826609"/>
    <w:rsid w:val="00826DEB"/>
    <w:rsid w:val="00826EE2"/>
    <w:rsid w:val="00827128"/>
    <w:rsid w:val="0083033D"/>
    <w:rsid w:val="008303C6"/>
    <w:rsid w:val="00830973"/>
    <w:rsid w:val="00831FE9"/>
    <w:rsid w:val="00832515"/>
    <w:rsid w:val="00833DD6"/>
    <w:rsid w:val="00833EA2"/>
    <w:rsid w:val="00834B0E"/>
    <w:rsid w:val="00834CC5"/>
    <w:rsid w:val="008351F8"/>
    <w:rsid w:val="0083613D"/>
    <w:rsid w:val="008362CE"/>
    <w:rsid w:val="0083679A"/>
    <w:rsid w:val="00837995"/>
    <w:rsid w:val="00837AC7"/>
    <w:rsid w:val="00840716"/>
    <w:rsid w:val="00840D7F"/>
    <w:rsid w:val="00840E67"/>
    <w:rsid w:val="00841143"/>
    <w:rsid w:val="0084168B"/>
    <w:rsid w:val="008417BF"/>
    <w:rsid w:val="0084185D"/>
    <w:rsid w:val="008425F6"/>
    <w:rsid w:val="00842C2D"/>
    <w:rsid w:val="00842E65"/>
    <w:rsid w:val="00843BF1"/>
    <w:rsid w:val="00843FFA"/>
    <w:rsid w:val="00844437"/>
    <w:rsid w:val="00844B54"/>
    <w:rsid w:val="00844CBC"/>
    <w:rsid w:val="0084551B"/>
    <w:rsid w:val="00846310"/>
    <w:rsid w:val="008464F0"/>
    <w:rsid w:val="008464F5"/>
    <w:rsid w:val="0084656B"/>
    <w:rsid w:val="00846B8E"/>
    <w:rsid w:val="00846D16"/>
    <w:rsid w:val="00850115"/>
    <w:rsid w:val="00850272"/>
    <w:rsid w:val="008506DA"/>
    <w:rsid w:val="0085077B"/>
    <w:rsid w:val="008508B2"/>
    <w:rsid w:val="00850F77"/>
    <w:rsid w:val="00851323"/>
    <w:rsid w:val="00851531"/>
    <w:rsid w:val="0085161E"/>
    <w:rsid w:val="00851797"/>
    <w:rsid w:val="008519CF"/>
    <w:rsid w:val="0085206E"/>
    <w:rsid w:val="008526E0"/>
    <w:rsid w:val="00852891"/>
    <w:rsid w:val="008531B7"/>
    <w:rsid w:val="00853451"/>
    <w:rsid w:val="00853498"/>
    <w:rsid w:val="00853A12"/>
    <w:rsid w:val="00853DF6"/>
    <w:rsid w:val="00854A86"/>
    <w:rsid w:val="008553E0"/>
    <w:rsid w:val="00855ED4"/>
    <w:rsid w:val="008561B2"/>
    <w:rsid w:val="008563F9"/>
    <w:rsid w:val="008565B1"/>
    <w:rsid w:val="0085666C"/>
    <w:rsid w:val="00857983"/>
    <w:rsid w:val="008607A7"/>
    <w:rsid w:val="00860CAE"/>
    <w:rsid w:val="008620DE"/>
    <w:rsid w:val="00862519"/>
    <w:rsid w:val="00862A23"/>
    <w:rsid w:val="00862D74"/>
    <w:rsid w:val="0086371B"/>
    <w:rsid w:val="0086386C"/>
    <w:rsid w:val="00863E41"/>
    <w:rsid w:val="00863FC6"/>
    <w:rsid w:val="0086443A"/>
    <w:rsid w:val="00864BD0"/>
    <w:rsid w:val="00864CB1"/>
    <w:rsid w:val="008668C8"/>
    <w:rsid w:val="00866B8C"/>
    <w:rsid w:val="00867359"/>
    <w:rsid w:val="00867E12"/>
    <w:rsid w:val="008702B6"/>
    <w:rsid w:val="0087087F"/>
    <w:rsid w:val="0087107E"/>
    <w:rsid w:val="008711F0"/>
    <w:rsid w:val="008717FA"/>
    <w:rsid w:val="0087224E"/>
    <w:rsid w:val="00872ECB"/>
    <w:rsid w:val="00873D92"/>
    <w:rsid w:val="008742A4"/>
    <w:rsid w:val="00874EA7"/>
    <w:rsid w:val="00874FFD"/>
    <w:rsid w:val="00875038"/>
    <w:rsid w:val="00875654"/>
    <w:rsid w:val="008757FC"/>
    <w:rsid w:val="00876C0E"/>
    <w:rsid w:val="00876F89"/>
    <w:rsid w:val="008776E3"/>
    <w:rsid w:val="008777A5"/>
    <w:rsid w:val="00877C71"/>
    <w:rsid w:val="00880176"/>
    <w:rsid w:val="00881433"/>
    <w:rsid w:val="008816F0"/>
    <w:rsid w:val="00882727"/>
    <w:rsid w:val="00882B0D"/>
    <w:rsid w:val="00882B74"/>
    <w:rsid w:val="0088343C"/>
    <w:rsid w:val="0088372C"/>
    <w:rsid w:val="00883880"/>
    <w:rsid w:val="00883923"/>
    <w:rsid w:val="00883CF8"/>
    <w:rsid w:val="00883DDD"/>
    <w:rsid w:val="00884AFB"/>
    <w:rsid w:val="00884C15"/>
    <w:rsid w:val="00885BC1"/>
    <w:rsid w:val="008862E6"/>
    <w:rsid w:val="0088667A"/>
    <w:rsid w:val="008866BC"/>
    <w:rsid w:val="00886816"/>
    <w:rsid w:val="0088693F"/>
    <w:rsid w:val="008869AE"/>
    <w:rsid w:val="00886A16"/>
    <w:rsid w:val="008872F5"/>
    <w:rsid w:val="00887334"/>
    <w:rsid w:val="008902CA"/>
    <w:rsid w:val="00890B20"/>
    <w:rsid w:val="008913B5"/>
    <w:rsid w:val="008915EE"/>
    <w:rsid w:val="00891A04"/>
    <w:rsid w:val="00892005"/>
    <w:rsid w:val="00892332"/>
    <w:rsid w:val="00892661"/>
    <w:rsid w:val="00892B76"/>
    <w:rsid w:val="00892E00"/>
    <w:rsid w:val="008933E2"/>
    <w:rsid w:val="00893490"/>
    <w:rsid w:val="00893521"/>
    <w:rsid w:val="00893581"/>
    <w:rsid w:val="00893AB0"/>
    <w:rsid w:val="00893BB6"/>
    <w:rsid w:val="008942DC"/>
    <w:rsid w:val="00894E5C"/>
    <w:rsid w:val="00895027"/>
    <w:rsid w:val="00895D80"/>
    <w:rsid w:val="00896340"/>
    <w:rsid w:val="0089771D"/>
    <w:rsid w:val="00897A20"/>
    <w:rsid w:val="00897C27"/>
    <w:rsid w:val="008A057F"/>
    <w:rsid w:val="008A06CE"/>
    <w:rsid w:val="008A0B91"/>
    <w:rsid w:val="008A14CC"/>
    <w:rsid w:val="008A169A"/>
    <w:rsid w:val="008A2314"/>
    <w:rsid w:val="008A2AF0"/>
    <w:rsid w:val="008A2EE3"/>
    <w:rsid w:val="008A30C9"/>
    <w:rsid w:val="008A33EE"/>
    <w:rsid w:val="008A3BB3"/>
    <w:rsid w:val="008A3DEE"/>
    <w:rsid w:val="008A3F68"/>
    <w:rsid w:val="008A4069"/>
    <w:rsid w:val="008A41FC"/>
    <w:rsid w:val="008A5597"/>
    <w:rsid w:val="008A5D5E"/>
    <w:rsid w:val="008A5D75"/>
    <w:rsid w:val="008A5E1C"/>
    <w:rsid w:val="008A5FDE"/>
    <w:rsid w:val="008A71FF"/>
    <w:rsid w:val="008A74B1"/>
    <w:rsid w:val="008A78A5"/>
    <w:rsid w:val="008A7A31"/>
    <w:rsid w:val="008B05B9"/>
    <w:rsid w:val="008B07D8"/>
    <w:rsid w:val="008B0C64"/>
    <w:rsid w:val="008B15D2"/>
    <w:rsid w:val="008B1702"/>
    <w:rsid w:val="008B1CBF"/>
    <w:rsid w:val="008B26DD"/>
    <w:rsid w:val="008B2736"/>
    <w:rsid w:val="008B296B"/>
    <w:rsid w:val="008B2BD3"/>
    <w:rsid w:val="008B3007"/>
    <w:rsid w:val="008B35A5"/>
    <w:rsid w:val="008B35D7"/>
    <w:rsid w:val="008B3869"/>
    <w:rsid w:val="008B4419"/>
    <w:rsid w:val="008B4C83"/>
    <w:rsid w:val="008B527D"/>
    <w:rsid w:val="008B6500"/>
    <w:rsid w:val="008B6B60"/>
    <w:rsid w:val="008B7443"/>
    <w:rsid w:val="008B79CB"/>
    <w:rsid w:val="008C01A2"/>
    <w:rsid w:val="008C053A"/>
    <w:rsid w:val="008C06F8"/>
    <w:rsid w:val="008C0AD0"/>
    <w:rsid w:val="008C0B08"/>
    <w:rsid w:val="008C14F8"/>
    <w:rsid w:val="008C15EB"/>
    <w:rsid w:val="008C1995"/>
    <w:rsid w:val="008C1E35"/>
    <w:rsid w:val="008C1ED4"/>
    <w:rsid w:val="008C25F5"/>
    <w:rsid w:val="008C3B8C"/>
    <w:rsid w:val="008C3FA2"/>
    <w:rsid w:val="008C4C00"/>
    <w:rsid w:val="008C4DA6"/>
    <w:rsid w:val="008C52C4"/>
    <w:rsid w:val="008C5C05"/>
    <w:rsid w:val="008C64F2"/>
    <w:rsid w:val="008C688B"/>
    <w:rsid w:val="008C6C12"/>
    <w:rsid w:val="008C70FB"/>
    <w:rsid w:val="008C7C3D"/>
    <w:rsid w:val="008D13F0"/>
    <w:rsid w:val="008D163A"/>
    <w:rsid w:val="008D1921"/>
    <w:rsid w:val="008D2A60"/>
    <w:rsid w:val="008D2D11"/>
    <w:rsid w:val="008D2DEE"/>
    <w:rsid w:val="008D3307"/>
    <w:rsid w:val="008D33F0"/>
    <w:rsid w:val="008D344B"/>
    <w:rsid w:val="008D3741"/>
    <w:rsid w:val="008D3B46"/>
    <w:rsid w:val="008D40A5"/>
    <w:rsid w:val="008D4186"/>
    <w:rsid w:val="008D4322"/>
    <w:rsid w:val="008D44AD"/>
    <w:rsid w:val="008D46E0"/>
    <w:rsid w:val="008D48B1"/>
    <w:rsid w:val="008D49D8"/>
    <w:rsid w:val="008D4B9B"/>
    <w:rsid w:val="008D4D40"/>
    <w:rsid w:val="008D544F"/>
    <w:rsid w:val="008D568F"/>
    <w:rsid w:val="008D6266"/>
    <w:rsid w:val="008D63EE"/>
    <w:rsid w:val="008D66F7"/>
    <w:rsid w:val="008D7351"/>
    <w:rsid w:val="008D7745"/>
    <w:rsid w:val="008E204D"/>
    <w:rsid w:val="008E21CD"/>
    <w:rsid w:val="008E2421"/>
    <w:rsid w:val="008E3135"/>
    <w:rsid w:val="008E3303"/>
    <w:rsid w:val="008E3363"/>
    <w:rsid w:val="008E3BDC"/>
    <w:rsid w:val="008E3D13"/>
    <w:rsid w:val="008E410C"/>
    <w:rsid w:val="008E49CE"/>
    <w:rsid w:val="008E4BDA"/>
    <w:rsid w:val="008E55E0"/>
    <w:rsid w:val="008E5A49"/>
    <w:rsid w:val="008E705A"/>
    <w:rsid w:val="008E736F"/>
    <w:rsid w:val="008E74FA"/>
    <w:rsid w:val="008E754B"/>
    <w:rsid w:val="008E77A1"/>
    <w:rsid w:val="008E790A"/>
    <w:rsid w:val="008E7D90"/>
    <w:rsid w:val="008F00E0"/>
    <w:rsid w:val="008F05DC"/>
    <w:rsid w:val="008F0C0D"/>
    <w:rsid w:val="008F106A"/>
    <w:rsid w:val="008F146A"/>
    <w:rsid w:val="008F18B6"/>
    <w:rsid w:val="008F1923"/>
    <w:rsid w:val="008F2283"/>
    <w:rsid w:val="008F2EA3"/>
    <w:rsid w:val="008F2F1A"/>
    <w:rsid w:val="008F38D6"/>
    <w:rsid w:val="008F3DEA"/>
    <w:rsid w:val="008F4128"/>
    <w:rsid w:val="008F4437"/>
    <w:rsid w:val="008F4CAD"/>
    <w:rsid w:val="008F5451"/>
    <w:rsid w:val="008F582C"/>
    <w:rsid w:val="008F5B17"/>
    <w:rsid w:val="008F5BB2"/>
    <w:rsid w:val="008F5F5F"/>
    <w:rsid w:val="008F6805"/>
    <w:rsid w:val="008F6DEE"/>
    <w:rsid w:val="008F7913"/>
    <w:rsid w:val="008F7B8C"/>
    <w:rsid w:val="008F7C3D"/>
    <w:rsid w:val="00900128"/>
    <w:rsid w:val="0090042B"/>
    <w:rsid w:val="00900CF4"/>
    <w:rsid w:val="0090253A"/>
    <w:rsid w:val="00902867"/>
    <w:rsid w:val="009033E6"/>
    <w:rsid w:val="0090353C"/>
    <w:rsid w:val="00903725"/>
    <w:rsid w:val="00903AB9"/>
    <w:rsid w:val="00903DDE"/>
    <w:rsid w:val="009044E8"/>
    <w:rsid w:val="0090528C"/>
    <w:rsid w:val="009054AD"/>
    <w:rsid w:val="00905590"/>
    <w:rsid w:val="009055B5"/>
    <w:rsid w:val="00905BB6"/>
    <w:rsid w:val="0090642C"/>
    <w:rsid w:val="009064A1"/>
    <w:rsid w:val="009066CB"/>
    <w:rsid w:val="00906C0D"/>
    <w:rsid w:val="00907558"/>
    <w:rsid w:val="009075B7"/>
    <w:rsid w:val="00907644"/>
    <w:rsid w:val="00911A06"/>
    <w:rsid w:val="00912673"/>
    <w:rsid w:val="00914A86"/>
    <w:rsid w:val="00914BEA"/>
    <w:rsid w:val="00914EE6"/>
    <w:rsid w:val="00915335"/>
    <w:rsid w:val="00915D84"/>
    <w:rsid w:val="00916365"/>
    <w:rsid w:val="009164B2"/>
    <w:rsid w:val="0091688C"/>
    <w:rsid w:val="00917A5A"/>
    <w:rsid w:val="00917C02"/>
    <w:rsid w:val="009206A4"/>
    <w:rsid w:val="009208D8"/>
    <w:rsid w:val="00920F54"/>
    <w:rsid w:val="00920FB8"/>
    <w:rsid w:val="009211C1"/>
    <w:rsid w:val="0092211D"/>
    <w:rsid w:val="009221AC"/>
    <w:rsid w:val="0092277F"/>
    <w:rsid w:val="009229F6"/>
    <w:rsid w:val="00922B03"/>
    <w:rsid w:val="00922C5B"/>
    <w:rsid w:val="00922D99"/>
    <w:rsid w:val="00922E57"/>
    <w:rsid w:val="009237BE"/>
    <w:rsid w:val="00923E63"/>
    <w:rsid w:val="00924188"/>
    <w:rsid w:val="009243C2"/>
    <w:rsid w:val="00924752"/>
    <w:rsid w:val="00924D4B"/>
    <w:rsid w:val="009251B0"/>
    <w:rsid w:val="009251EC"/>
    <w:rsid w:val="00925EC1"/>
    <w:rsid w:val="0092622A"/>
    <w:rsid w:val="00926939"/>
    <w:rsid w:val="00926AEF"/>
    <w:rsid w:val="00926BC6"/>
    <w:rsid w:val="00927157"/>
    <w:rsid w:val="009276B1"/>
    <w:rsid w:val="00927720"/>
    <w:rsid w:val="00927E7D"/>
    <w:rsid w:val="009303AD"/>
    <w:rsid w:val="00930930"/>
    <w:rsid w:val="00931083"/>
    <w:rsid w:val="009317F1"/>
    <w:rsid w:val="00932310"/>
    <w:rsid w:val="00932451"/>
    <w:rsid w:val="00933913"/>
    <w:rsid w:val="00933C6A"/>
    <w:rsid w:val="00933C93"/>
    <w:rsid w:val="00934504"/>
    <w:rsid w:val="009345CA"/>
    <w:rsid w:val="0093494B"/>
    <w:rsid w:val="00934D81"/>
    <w:rsid w:val="00934E9D"/>
    <w:rsid w:val="00935317"/>
    <w:rsid w:val="00936A85"/>
    <w:rsid w:val="009373F9"/>
    <w:rsid w:val="00937BAD"/>
    <w:rsid w:val="009412EA"/>
    <w:rsid w:val="00941543"/>
    <w:rsid w:val="009419DE"/>
    <w:rsid w:val="00941C15"/>
    <w:rsid w:val="00941FBF"/>
    <w:rsid w:val="00942119"/>
    <w:rsid w:val="00942AA9"/>
    <w:rsid w:val="00942B4C"/>
    <w:rsid w:val="00942FBF"/>
    <w:rsid w:val="00944336"/>
    <w:rsid w:val="00944379"/>
    <w:rsid w:val="009444CB"/>
    <w:rsid w:val="00944CFA"/>
    <w:rsid w:val="00945172"/>
    <w:rsid w:val="00945973"/>
    <w:rsid w:val="00945A69"/>
    <w:rsid w:val="00946875"/>
    <w:rsid w:val="00946CE6"/>
    <w:rsid w:val="00946F19"/>
    <w:rsid w:val="00947390"/>
    <w:rsid w:val="00947A4D"/>
    <w:rsid w:val="00947F41"/>
    <w:rsid w:val="00950051"/>
    <w:rsid w:val="00950297"/>
    <w:rsid w:val="00950CD1"/>
    <w:rsid w:val="00950DCD"/>
    <w:rsid w:val="00950FD3"/>
    <w:rsid w:val="00951477"/>
    <w:rsid w:val="0095187B"/>
    <w:rsid w:val="00951A5A"/>
    <w:rsid w:val="00951E9D"/>
    <w:rsid w:val="0095236F"/>
    <w:rsid w:val="009524F9"/>
    <w:rsid w:val="009527B9"/>
    <w:rsid w:val="00952ADA"/>
    <w:rsid w:val="00952BE0"/>
    <w:rsid w:val="00952C15"/>
    <w:rsid w:val="00952EB3"/>
    <w:rsid w:val="00953118"/>
    <w:rsid w:val="00953251"/>
    <w:rsid w:val="00953427"/>
    <w:rsid w:val="00953674"/>
    <w:rsid w:val="00953BE9"/>
    <w:rsid w:val="00954B4D"/>
    <w:rsid w:val="00954F76"/>
    <w:rsid w:val="00955A60"/>
    <w:rsid w:val="00955AE4"/>
    <w:rsid w:val="0095635F"/>
    <w:rsid w:val="0095645B"/>
    <w:rsid w:val="00956EA0"/>
    <w:rsid w:val="009572FD"/>
    <w:rsid w:val="0095760B"/>
    <w:rsid w:val="009576B4"/>
    <w:rsid w:val="00957707"/>
    <w:rsid w:val="009578CC"/>
    <w:rsid w:val="00957D45"/>
    <w:rsid w:val="00957EAA"/>
    <w:rsid w:val="00960053"/>
    <w:rsid w:val="009609E4"/>
    <w:rsid w:val="0096111A"/>
    <w:rsid w:val="009613C3"/>
    <w:rsid w:val="0096248F"/>
    <w:rsid w:val="0096285F"/>
    <w:rsid w:val="009628AA"/>
    <w:rsid w:val="009637D8"/>
    <w:rsid w:val="00964A01"/>
    <w:rsid w:val="00964F4E"/>
    <w:rsid w:val="00964F87"/>
    <w:rsid w:val="0096507A"/>
    <w:rsid w:val="0096529F"/>
    <w:rsid w:val="0096597A"/>
    <w:rsid w:val="00965C3C"/>
    <w:rsid w:val="00965D15"/>
    <w:rsid w:val="00966273"/>
    <w:rsid w:val="00966338"/>
    <w:rsid w:val="0096636E"/>
    <w:rsid w:val="009671DE"/>
    <w:rsid w:val="00967215"/>
    <w:rsid w:val="0096737B"/>
    <w:rsid w:val="00967DDD"/>
    <w:rsid w:val="009700F9"/>
    <w:rsid w:val="009705C3"/>
    <w:rsid w:val="00970A9F"/>
    <w:rsid w:val="00971096"/>
    <w:rsid w:val="00971CDF"/>
    <w:rsid w:val="0097259C"/>
    <w:rsid w:val="009735CD"/>
    <w:rsid w:val="00973986"/>
    <w:rsid w:val="00973B41"/>
    <w:rsid w:val="00973D0E"/>
    <w:rsid w:val="00974290"/>
    <w:rsid w:val="009748CE"/>
    <w:rsid w:val="00974DC9"/>
    <w:rsid w:val="009756F0"/>
    <w:rsid w:val="00975A34"/>
    <w:rsid w:val="00975D77"/>
    <w:rsid w:val="00977B6C"/>
    <w:rsid w:val="00977FA6"/>
    <w:rsid w:val="00980EDE"/>
    <w:rsid w:val="0098118B"/>
    <w:rsid w:val="00981287"/>
    <w:rsid w:val="00982083"/>
    <w:rsid w:val="0098260B"/>
    <w:rsid w:val="009827C5"/>
    <w:rsid w:val="00984054"/>
    <w:rsid w:val="0098484D"/>
    <w:rsid w:val="00984F40"/>
    <w:rsid w:val="00985A08"/>
    <w:rsid w:val="00985BCF"/>
    <w:rsid w:val="00986346"/>
    <w:rsid w:val="00986CBF"/>
    <w:rsid w:val="00986CD1"/>
    <w:rsid w:val="00986D8A"/>
    <w:rsid w:val="0098752B"/>
    <w:rsid w:val="00987726"/>
    <w:rsid w:val="00987958"/>
    <w:rsid w:val="00987AFF"/>
    <w:rsid w:val="00987EED"/>
    <w:rsid w:val="00987F19"/>
    <w:rsid w:val="0099006B"/>
    <w:rsid w:val="00990CC0"/>
    <w:rsid w:val="00990F23"/>
    <w:rsid w:val="00990F74"/>
    <w:rsid w:val="0099115C"/>
    <w:rsid w:val="00991554"/>
    <w:rsid w:val="00991804"/>
    <w:rsid w:val="0099217E"/>
    <w:rsid w:val="0099249C"/>
    <w:rsid w:val="00992533"/>
    <w:rsid w:val="00992F72"/>
    <w:rsid w:val="0099385F"/>
    <w:rsid w:val="009940D1"/>
    <w:rsid w:val="0099448E"/>
    <w:rsid w:val="009945EB"/>
    <w:rsid w:val="009950E3"/>
    <w:rsid w:val="00995338"/>
    <w:rsid w:val="00995B6C"/>
    <w:rsid w:val="009A0D6F"/>
    <w:rsid w:val="009A0E7B"/>
    <w:rsid w:val="009A13B7"/>
    <w:rsid w:val="009A1417"/>
    <w:rsid w:val="009A147D"/>
    <w:rsid w:val="009A1852"/>
    <w:rsid w:val="009A1EA6"/>
    <w:rsid w:val="009A38F5"/>
    <w:rsid w:val="009A4425"/>
    <w:rsid w:val="009A4670"/>
    <w:rsid w:val="009A4B0B"/>
    <w:rsid w:val="009A4EC2"/>
    <w:rsid w:val="009A5173"/>
    <w:rsid w:val="009A51A2"/>
    <w:rsid w:val="009A6292"/>
    <w:rsid w:val="009A6472"/>
    <w:rsid w:val="009A6C50"/>
    <w:rsid w:val="009A6F01"/>
    <w:rsid w:val="009A70B2"/>
    <w:rsid w:val="009A7D52"/>
    <w:rsid w:val="009A7F99"/>
    <w:rsid w:val="009B05A2"/>
    <w:rsid w:val="009B0CF1"/>
    <w:rsid w:val="009B172F"/>
    <w:rsid w:val="009B1C9D"/>
    <w:rsid w:val="009B23F5"/>
    <w:rsid w:val="009B28F8"/>
    <w:rsid w:val="009B2FE2"/>
    <w:rsid w:val="009B332C"/>
    <w:rsid w:val="009B43F8"/>
    <w:rsid w:val="009B4622"/>
    <w:rsid w:val="009B47C4"/>
    <w:rsid w:val="009B4CA8"/>
    <w:rsid w:val="009B52E1"/>
    <w:rsid w:val="009B533C"/>
    <w:rsid w:val="009B5F7B"/>
    <w:rsid w:val="009B60A7"/>
    <w:rsid w:val="009B61E6"/>
    <w:rsid w:val="009B643C"/>
    <w:rsid w:val="009B650F"/>
    <w:rsid w:val="009B6625"/>
    <w:rsid w:val="009B6671"/>
    <w:rsid w:val="009C19D3"/>
    <w:rsid w:val="009C1EA0"/>
    <w:rsid w:val="009C33EB"/>
    <w:rsid w:val="009C401A"/>
    <w:rsid w:val="009C506D"/>
    <w:rsid w:val="009C55CE"/>
    <w:rsid w:val="009C58C6"/>
    <w:rsid w:val="009C5F6D"/>
    <w:rsid w:val="009C63D9"/>
    <w:rsid w:val="009C64E3"/>
    <w:rsid w:val="009C6806"/>
    <w:rsid w:val="009C725E"/>
    <w:rsid w:val="009C74D0"/>
    <w:rsid w:val="009C7581"/>
    <w:rsid w:val="009C766D"/>
    <w:rsid w:val="009D0625"/>
    <w:rsid w:val="009D07D5"/>
    <w:rsid w:val="009D0DA4"/>
    <w:rsid w:val="009D1A0A"/>
    <w:rsid w:val="009D200F"/>
    <w:rsid w:val="009D2E92"/>
    <w:rsid w:val="009D307C"/>
    <w:rsid w:val="009D32D9"/>
    <w:rsid w:val="009D3361"/>
    <w:rsid w:val="009D3746"/>
    <w:rsid w:val="009D3875"/>
    <w:rsid w:val="009D3E0D"/>
    <w:rsid w:val="009D4A31"/>
    <w:rsid w:val="009D4B10"/>
    <w:rsid w:val="009D54EA"/>
    <w:rsid w:val="009D6052"/>
    <w:rsid w:val="009D629D"/>
    <w:rsid w:val="009D6430"/>
    <w:rsid w:val="009D6FB0"/>
    <w:rsid w:val="009E02EA"/>
    <w:rsid w:val="009E0521"/>
    <w:rsid w:val="009E0915"/>
    <w:rsid w:val="009E0C72"/>
    <w:rsid w:val="009E0CEF"/>
    <w:rsid w:val="009E1426"/>
    <w:rsid w:val="009E143F"/>
    <w:rsid w:val="009E1D33"/>
    <w:rsid w:val="009E2365"/>
    <w:rsid w:val="009E26A2"/>
    <w:rsid w:val="009E3DF8"/>
    <w:rsid w:val="009E41CD"/>
    <w:rsid w:val="009E4489"/>
    <w:rsid w:val="009E4514"/>
    <w:rsid w:val="009E49AB"/>
    <w:rsid w:val="009E584E"/>
    <w:rsid w:val="009E5AC5"/>
    <w:rsid w:val="009E60C2"/>
    <w:rsid w:val="009E6130"/>
    <w:rsid w:val="009E68C2"/>
    <w:rsid w:val="009E7746"/>
    <w:rsid w:val="009E7CCE"/>
    <w:rsid w:val="009F05A4"/>
    <w:rsid w:val="009F1B96"/>
    <w:rsid w:val="009F23F9"/>
    <w:rsid w:val="009F2767"/>
    <w:rsid w:val="009F3057"/>
    <w:rsid w:val="009F36A7"/>
    <w:rsid w:val="009F3706"/>
    <w:rsid w:val="009F3AFE"/>
    <w:rsid w:val="009F3CF0"/>
    <w:rsid w:val="009F433C"/>
    <w:rsid w:val="009F46DE"/>
    <w:rsid w:val="009F4F51"/>
    <w:rsid w:val="009F573A"/>
    <w:rsid w:val="009F5DB7"/>
    <w:rsid w:val="009F5EED"/>
    <w:rsid w:val="009F6890"/>
    <w:rsid w:val="009F6CF9"/>
    <w:rsid w:val="009F6D9F"/>
    <w:rsid w:val="009F7072"/>
    <w:rsid w:val="009F7205"/>
    <w:rsid w:val="00A0010D"/>
    <w:rsid w:val="00A002C0"/>
    <w:rsid w:val="00A0163D"/>
    <w:rsid w:val="00A024E8"/>
    <w:rsid w:val="00A02DE9"/>
    <w:rsid w:val="00A02EAA"/>
    <w:rsid w:val="00A033E3"/>
    <w:rsid w:val="00A0379F"/>
    <w:rsid w:val="00A03F3D"/>
    <w:rsid w:val="00A04327"/>
    <w:rsid w:val="00A04731"/>
    <w:rsid w:val="00A04A32"/>
    <w:rsid w:val="00A05253"/>
    <w:rsid w:val="00A05624"/>
    <w:rsid w:val="00A058AF"/>
    <w:rsid w:val="00A05F20"/>
    <w:rsid w:val="00A0603A"/>
    <w:rsid w:val="00A06DB7"/>
    <w:rsid w:val="00A07142"/>
    <w:rsid w:val="00A071DA"/>
    <w:rsid w:val="00A073F8"/>
    <w:rsid w:val="00A078CC"/>
    <w:rsid w:val="00A07CBA"/>
    <w:rsid w:val="00A07DB7"/>
    <w:rsid w:val="00A10A5A"/>
    <w:rsid w:val="00A112D9"/>
    <w:rsid w:val="00A11771"/>
    <w:rsid w:val="00A125B5"/>
    <w:rsid w:val="00A12D90"/>
    <w:rsid w:val="00A1307D"/>
    <w:rsid w:val="00A1313F"/>
    <w:rsid w:val="00A13CA7"/>
    <w:rsid w:val="00A143BC"/>
    <w:rsid w:val="00A14D78"/>
    <w:rsid w:val="00A14E53"/>
    <w:rsid w:val="00A14E9C"/>
    <w:rsid w:val="00A1548D"/>
    <w:rsid w:val="00A160A2"/>
    <w:rsid w:val="00A16554"/>
    <w:rsid w:val="00A16A10"/>
    <w:rsid w:val="00A16F90"/>
    <w:rsid w:val="00A1731C"/>
    <w:rsid w:val="00A174FC"/>
    <w:rsid w:val="00A178C1"/>
    <w:rsid w:val="00A2002D"/>
    <w:rsid w:val="00A2133C"/>
    <w:rsid w:val="00A21FFB"/>
    <w:rsid w:val="00A22C96"/>
    <w:rsid w:val="00A22E33"/>
    <w:rsid w:val="00A22FAB"/>
    <w:rsid w:val="00A23029"/>
    <w:rsid w:val="00A236FB"/>
    <w:rsid w:val="00A239BD"/>
    <w:rsid w:val="00A2426D"/>
    <w:rsid w:val="00A248E1"/>
    <w:rsid w:val="00A24A61"/>
    <w:rsid w:val="00A24C04"/>
    <w:rsid w:val="00A2515E"/>
    <w:rsid w:val="00A2543F"/>
    <w:rsid w:val="00A258C8"/>
    <w:rsid w:val="00A258D4"/>
    <w:rsid w:val="00A262CA"/>
    <w:rsid w:val="00A263BA"/>
    <w:rsid w:val="00A27343"/>
    <w:rsid w:val="00A27A30"/>
    <w:rsid w:val="00A30395"/>
    <w:rsid w:val="00A30C3E"/>
    <w:rsid w:val="00A30DC6"/>
    <w:rsid w:val="00A31056"/>
    <w:rsid w:val="00A312B8"/>
    <w:rsid w:val="00A31A29"/>
    <w:rsid w:val="00A31A63"/>
    <w:rsid w:val="00A31C8A"/>
    <w:rsid w:val="00A31D1C"/>
    <w:rsid w:val="00A3240E"/>
    <w:rsid w:val="00A3256B"/>
    <w:rsid w:val="00A330D8"/>
    <w:rsid w:val="00A338D2"/>
    <w:rsid w:val="00A33CED"/>
    <w:rsid w:val="00A34D0E"/>
    <w:rsid w:val="00A34DDA"/>
    <w:rsid w:val="00A35488"/>
    <w:rsid w:val="00A35D26"/>
    <w:rsid w:val="00A35D28"/>
    <w:rsid w:val="00A35E2C"/>
    <w:rsid w:val="00A36455"/>
    <w:rsid w:val="00A3653F"/>
    <w:rsid w:val="00A37250"/>
    <w:rsid w:val="00A37314"/>
    <w:rsid w:val="00A40D78"/>
    <w:rsid w:val="00A4129A"/>
    <w:rsid w:val="00A417F7"/>
    <w:rsid w:val="00A41B91"/>
    <w:rsid w:val="00A41E0D"/>
    <w:rsid w:val="00A41E6B"/>
    <w:rsid w:val="00A41F0C"/>
    <w:rsid w:val="00A4232B"/>
    <w:rsid w:val="00A42832"/>
    <w:rsid w:val="00A43114"/>
    <w:rsid w:val="00A43151"/>
    <w:rsid w:val="00A43228"/>
    <w:rsid w:val="00A4350C"/>
    <w:rsid w:val="00A435AB"/>
    <w:rsid w:val="00A435B9"/>
    <w:rsid w:val="00A443FF"/>
    <w:rsid w:val="00A4481E"/>
    <w:rsid w:val="00A45422"/>
    <w:rsid w:val="00A45803"/>
    <w:rsid w:val="00A4718C"/>
    <w:rsid w:val="00A472B3"/>
    <w:rsid w:val="00A47B96"/>
    <w:rsid w:val="00A50022"/>
    <w:rsid w:val="00A50052"/>
    <w:rsid w:val="00A501B3"/>
    <w:rsid w:val="00A50295"/>
    <w:rsid w:val="00A50538"/>
    <w:rsid w:val="00A506AC"/>
    <w:rsid w:val="00A508B6"/>
    <w:rsid w:val="00A50FFE"/>
    <w:rsid w:val="00A5117A"/>
    <w:rsid w:val="00A51BA4"/>
    <w:rsid w:val="00A51E08"/>
    <w:rsid w:val="00A520BE"/>
    <w:rsid w:val="00A532B3"/>
    <w:rsid w:val="00A53521"/>
    <w:rsid w:val="00A536BB"/>
    <w:rsid w:val="00A53924"/>
    <w:rsid w:val="00A54413"/>
    <w:rsid w:val="00A55900"/>
    <w:rsid w:val="00A55987"/>
    <w:rsid w:val="00A55D38"/>
    <w:rsid w:val="00A55DC1"/>
    <w:rsid w:val="00A56456"/>
    <w:rsid w:val="00A5645C"/>
    <w:rsid w:val="00A56D91"/>
    <w:rsid w:val="00A577D0"/>
    <w:rsid w:val="00A57C13"/>
    <w:rsid w:val="00A6029C"/>
    <w:rsid w:val="00A610E0"/>
    <w:rsid w:val="00A6125D"/>
    <w:rsid w:val="00A61435"/>
    <w:rsid w:val="00A61708"/>
    <w:rsid w:val="00A619CA"/>
    <w:rsid w:val="00A61B46"/>
    <w:rsid w:val="00A62197"/>
    <w:rsid w:val="00A62434"/>
    <w:rsid w:val="00A630C6"/>
    <w:rsid w:val="00A632BC"/>
    <w:rsid w:val="00A63551"/>
    <w:rsid w:val="00A6374A"/>
    <w:rsid w:val="00A63806"/>
    <w:rsid w:val="00A63A78"/>
    <w:rsid w:val="00A64834"/>
    <w:rsid w:val="00A6485C"/>
    <w:rsid w:val="00A6544B"/>
    <w:rsid w:val="00A6574C"/>
    <w:rsid w:val="00A66202"/>
    <w:rsid w:val="00A6641D"/>
    <w:rsid w:val="00A66B8C"/>
    <w:rsid w:val="00A67645"/>
    <w:rsid w:val="00A67C34"/>
    <w:rsid w:val="00A702F7"/>
    <w:rsid w:val="00A70408"/>
    <w:rsid w:val="00A707DB"/>
    <w:rsid w:val="00A70838"/>
    <w:rsid w:val="00A70E81"/>
    <w:rsid w:val="00A7123F"/>
    <w:rsid w:val="00A71E5F"/>
    <w:rsid w:val="00A722EF"/>
    <w:rsid w:val="00A72DDC"/>
    <w:rsid w:val="00A73080"/>
    <w:rsid w:val="00A73B61"/>
    <w:rsid w:val="00A73D4D"/>
    <w:rsid w:val="00A73E38"/>
    <w:rsid w:val="00A74B93"/>
    <w:rsid w:val="00A75250"/>
    <w:rsid w:val="00A7565F"/>
    <w:rsid w:val="00A762DA"/>
    <w:rsid w:val="00A76BC4"/>
    <w:rsid w:val="00A770D4"/>
    <w:rsid w:val="00A77407"/>
    <w:rsid w:val="00A77806"/>
    <w:rsid w:val="00A77CCA"/>
    <w:rsid w:val="00A8057E"/>
    <w:rsid w:val="00A81043"/>
    <w:rsid w:val="00A818F0"/>
    <w:rsid w:val="00A82249"/>
    <w:rsid w:val="00A82375"/>
    <w:rsid w:val="00A82730"/>
    <w:rsid w:val="00A82D67"/>
    <w:rsid w:val="00A82F53"/>
    <w:rsid w:val="00A83492"/>
    <w:rsid w:val="00A834E4"/>
    <w:rsid w:val="00A8353B"/>
    <w:rsid w:val="00A8356E"/>
    <w:rsid w:val="00A83CEB"/>
    <w:rsid w:val="00A83CF4"/>
    <w:rsid w:val="00A84237"/>
    <w:rsid w:val="00A845A8"/>
    <w:rsid w:val="00A84EC0"/>
    <w:rsid w:val="00A8542D"/>
    <w:rsid w:val="00A85818"/>
    <w:rsid w:val="00A860C9"/>
    <w:rsid w:val="00A86A2F"/>
    <w:rsid w:val="00A87060"/>
    <w:rsid w:val="00A87379"/>
    <w:rsid w:val="00A90681"/>
    <w:rsid w:val="00A90FFA"/>
    <w:rsid w:val="00A91263"/>
    <w:rsid w:val="00A91E60"/>
    <w:rsid w:val="00A927F5"/>
    <w:rsid w:val="00A92BAD"/>
    <w:rsid w:val="00A931F5"/>
    <w:rsid w:val="00A9409E"/>
    <w:rsid w:val="00A9444B"/>
    <w:rsid w:val="00A94625"/>
    <w:rsid w:val="00A94924"/>
    <w:rsid w:val="00A94A56"/>
    <w:rsid w:val="00A94B3B"/>
    <w:rsid w:val="00A94D8B"/>
    <w:rsid w:val="00A94E33"/>
    <w:rsid w:val="00A95155"/>
    <w:rsid w:val="00A95189"/>
    <w:rsid w:val="00A959F2"/>
    <w:rsid w:val="00A96557"/>
    <w:rsid w:val="00A96801"/>
    <w:rsid w:val="00A96828"/>
    <w:rsid w:val="00A96A51"/>
    <w:rsid w:val="00A9721A"/>
    <w:rsid w:val="00A97813"/>
    <w:rsid w:val="00A97900"/>
    <w:rsid w:val="00A97B4A"/>
    <w:rsid w:val="00AA032B"/>
    <w:rsid w:val="00AA0683"/>
    <w:rsid w:val="00AA07CD"/>
    <w:rsid w:val="00AA1896"/>
    <w:rsid w:val="00AA204C"/>
    <w:rsid w:val="00AA21EC"/>
    <w:rsid w:val="00AA22F7"/>
    <w:rsid w:val="00AA2EC1"/>
    <w:rsid w:val="00AA333D"/>
    <w:rsid w:val="00AA35EA"/>
    <w:rsid w:val="00AA360A"/>
    <w:rsid w:val="00AA38FE"/>
    <w:rsid w:val="00AA3C62"/>
    <w:rsid w:val="00AA3E41"/>
    <w:rsid w:val="00AA3EAB"/>
    <w:rsid w:val="00AA4818"/>
    <w:rsid w:val="00AA49A5"/>
    <w:rsid w:val="00AA4B88"/>
    <w:rsid w:val="00AA4BC8"/>
    <w:rsid w:val="00AA4E6B"/>
    <w:rsid w:val="00AA59FE"/>
    <w:rsid w:val="00AA67AE"/>
    <w:rsid w:val="00AA6AFF"/>
    <w:rsid w:val="00AA6C24"/>
    <w:rsid w:val="00AA7256"/>
    <w:rsid w:val="00AA7525"/>
    <w:rsid w:val="00AA753A"/>
    <w:rsid w:val="00AA78AB"/>
    <w:rsid w:val="00AA7ADC"/>
    <w:rsid w:val="00AA7D75"/>
    <w:rsid w:val="00AB0767"/>
    <w:rsid w:val="00AB0A1C"/>
    <w:rsid w:val="00AB0C54"/>
    <w:rsid w:val="00AB0D2B"/>
    <w:rsid w:val="00AB108A"/>
    <w:rsid w:val="00AB10A6"/>
    <w:rsid w:val="00AB132B"/>
    <w:rsid w:val="00AB221A"/>
    <w:rsid w:val="00AB253A"/>
    <w:rsid w:val="00AB2CC5"/>
    <w:rsid w:val="00AB2E05"/>
    <w:rsid w:val="00AB3523"/>
    <w:rsid w:val="00AB35E9"/>
    <w:rsid w:val="00AB39F6"/>
    <w:rsid w:val="00AB4092"/>
    <w:rsid w:val="00AB42F9"/>
    <w:rsid w:val="00AB439D"/>
    <w:rsid w:val="00AB4600"/>
    <w:rsid w:val="00AB5356"/>
    <w:rsid w:val="00AB5939"/>
    <w:rsid w:val="00AB6251"/>
    <w:rsid w:val="00AB63C4"/>
    <w:rsid w:val="00AB65B7"/>
    <w:rsid w:val="00AB6AE4"/>
    <w:rsid w:val="00AB7B14"/>
    <w:rsid w:val="00AC0A21"/>
    <w:rsid w:val="00AC0AAC"/>
    <w:rsid w:val="00AC0FBD"/>
    <w:rsid w:val="00AC130F"/>
    <w:rsid w:val="00AC1414"/>
    <w:rsid w:val="00AC1806"/>
    <w:rsid w:val="00AC1C98"/>
    <w:rsid w:val="00AC2029"/>
    <w:rsid w:val="00AC27D4"/>
    <w:rsid w:val="00AC3074"/>
    <w:rsid w:val="00AC3098"/>
    <w:rsid w:val="00AC3599"/>
    <w:rsid w:val="00AC36E3"/>
    <w:rsid w:val="00AC3948"/>
    <w:rsid w:val="00AC3AFA"/>
    <w:rsid w:val="00AC3F4F"/>
    <w:rsid w:val="00AC3F91"/>
    <w:rsid w:val="00AC4246"/>
    <w:rsid w:val="00AC4A19"/>
    <w:rsid w:val="00AC507E"/>
    <w:rsid w:val="00AC5319"/>
    <w:rsid w:val="00AC56F0"/>
    <w:rsid w:val="00AC6A3D"/>
    <w:rsid w:val="00AC6CDB"/>
    <w:rsid w:val="00AC71EF"/>
    <w:rsid w:val="00AC74C8"/>
    <w:rsid w:val="00AC7A7F"/>
    <w:rsid w:val="00AC7F92"/>
    <w:rsid w:val="00AD0279"/>
    <w:rsid w:val="00AD053B"/>
    <w:rsid w:val="00AD07F3"/>
    <w:rsid w:val="00AD08A4"/>
    <w:rsid w:val="00AD08E2"/>
    <w:rsid w:val="00AD112D"/>
    <w:rsid w:val="00AD12CD"/>
    <w:rsid w:val="00AD13AF"/>
    <w:rsid w:val="00AD1528"/>
    <w:rsid w:val="00AD1A4C"/>
    <w:rsid w:val="00AD1B64"/>
    <w:rsid w:val="00AD1CFD"/>
    <w:rsid w:val="00AD1D5D"/>
    <w:rsid w:val="00AD2123"/>
    <w:rsid w:val="00AD3198"/>
    <w:rsid w:val="00AD3E35"/>
    <w:rsid w:val="00AD3FFA"/>
    <w:rsid w:val="00AD42D7"/>
    <w:rsid w:val="00AD4334"/>
    <w:rsid w:val="00AD48A4"/>
    <w:rsid w:val="00AD4FB8"/>
    <w:rsid w:val="00AD566C"/>
    <w:rsid w:val="00AD56A3"/>
    <w:rsid w:val="00AD577E"/>
    <w:rsid w:val="00AD5D79"/>
    <w:rsid w:val="00AD6008"/>
    <w:rsid w:val="00AD6BEE"/>
    <w:rsid w:val="00AD707D"/>
    <w:rsid w:val="00AD73B1"/>
    <w:rsid w:val="00AD777B"/>
    <w:rsid w:val="00AE01BD"/>
    <w:rsid w:val="00AE03D9"/>
    <w:rsid w:val="00AE11CA"/>
    <w:rsid w:val="00AE1509"/>
    <w:rsid w:val="00AE2945"/>
    <w:rsid w:val="00AE2D03"/>
    <w:rsid w:val="00AE31EC"/>
    <w:rsid w:val="00AE36DC"/>
    <w:rsid w:val="00AE3C76"/>
    <w:rsid w:val="00AE3D21"/>
    <w:rsid w:val="00AE3FF8"/>
    <w:rsid w:val="00AE44AE"/>
    <w:rsid w:val="00AE4631"/>
    <w:rsid w:val="00AE47C4"/>
    <w:rsid w:val="00AE4A0E"/>
    <w:rsid w:val="00AE4A7D"/>
    <w:rsid w:val="00AE4F2B"/>
    <w:rsid w:val="00AE5581"/>
    <w:rsid w:val="00AE5FC0"/>
    <w:rsid w:val="00AE61F9"/>
    <w:rsid w:val="00AE64DB"/>
    <w:rsid w:val="00AE670F"/>
    <w:rsid w:val="00AE6C74"/>
    <w:rsid w:val="00AE6FB5"/>
    <w:rsid w:val="00AE73CA"/>
    <w:rsid w:val="00AE79C5"/>
    <w:rsid w:val="00AF0706"/>
    <w:rsid w:val="00AF0F02"/>
    <w:rsid w:val="00AF19DC"/>
    <w:rsid w:val="00AF1A3A"/>
    <w:rsid w:val="00AF1B95"/>
    <w:rsid w:val="00AF2001"/>
    <w:rsid w:val="00AF24A3"/>
    <w:rsid w:val="00AF2B85"/>
    <w:rsid w:val="00AF2F9F"/>
    <w:rsid w:val="00AF3798"/>
    <w:rsid w:val="00AF3A26"/>
    <w:rsid w:val="00AF47FD"/>
    <w:rsid w:val="00AF4C71"/>
    <w:rsid w:val="00B00401"/>
    <w:rsid w:val="00B006D4"/>
    <w:rsid w:val="00B00A4B"/>
    <w:rsid w:val="00B00C34"/>
    <w:rsid w:val="00B025E5"/>
    <w:rsid w:val="00B02848"/>
    <w:rsid w:val="00B03660"/>
    <w:rsid w:val="00B03C34"/>
    <w:rsid w:val="00B05389"/>
    <w:rsid w:val="00B05995"/>
    <w:rsid w:val="00B064FF"/>
    <w:rsid w:val="00B10611"/>
    <w:rsid w:val="00B10C68"/>
    <w:rsid w:val="00B10DC2"/>
    <w:rsid w:val="00B1110E"/>
    <w:rsid w:val="00B11976"/>
    <w:rsid w:val="00B11EE9"/>
    <w:rsid w:val="00B12A1E"/>
    <w:rsid w:val="00B12ECE"/>
    <w:rsid w:val="00B1490B"/>
    <w:rsid w:val="00B14917"/>
    <w:rsid w:val="00B14AFB"/>
    <w:rsid w:val="00B14C5A"/>
    <w:rsid w:val="00B15304"/>
    <w:rsid w:val="00B156FE"/>
    <w:rsid w:val="00B15D17"/>
    <w:rsid w:val="00B15D7A"/>
    <w:rsid w:val="00B15F1A"/>
    <w:rsid w:val="00B15F4D"/>
    <w:rsid w:val="00B16088"/>
    <w:rsid w:val="00B1639F"/>
    <w:rsid w:val="00B16F67"/>
    <w:rsid w:val="00B1760B"/>
    <w:rsid w:val="00B17D9B"/>
    <w:rsid w:val="00B2081C"/>
    <w:rsid w:val="00B2120E"/>
    <w:rsid w:val="00B212D5"/>
    <w:rsid w:val="00B22237"/>
    <w:rsid w:val="00B22A63"/>
    <w:rsid w:val="00B235AE"/>
    <w:rsid w:val="00B23D4E"/>
    <w:rsid w:val="00B2428F"/>
    <w:rsid w:val="00B2483B"/>
    <w:rsid w:val="00B25246"/>
    <w:rsid w:val="00B258DB"/>
    <w:rsid w:val="00B25C10"/>
    <w:rsid w:val="00B26080"/>
    <w:rsid w:val="00B27E22"/>
    <w:rsid w:val="00B30802"/>
    <w:rsid w:val="00B30BC3"/>
    <w:rsid w:val="00B3134F"/>
    <w:rsid w:val="00B32011"/>
    <w:rsid w:val="00B3208F"/>
    <w:rsid w:val="00B335C2"/>
    <w:rsid w:val="00B3388E"/>
    <w:rsid w:val="00B33B93"/>
    <w:rsid w:val="00B33C8C"/>
    <w:rsid w:val="00B34256"/>
    <w:rsid w:val="00B343E7"/>
    <w:rsid w:val="00B3501D"/>
    <w:rsid w:val="00B350A7"/>
    <w:rsid w:val="00B350BB"/>
    <w:rsid w:val="00B363B0"/>
    <w:rsid w:val="00B36435"/>
    <w:rsid w:val="00B3669D"/>
    <w:rsid w:val="00B3672F"/>
    <w:rsid w:val="00B36960"/>
    <w:rsid w:val="00B36C59"/>
    <w:rsid w:val="00B36DFE"/>
    <w:rsid w:val="00B37003"/>
    <w:rsid w:val="00B37586"/>
    <w:rsid w:val="00B37A2D"/>
    <w:rsid w:val="00B37C51"/>
    <w:rsid w:val="00B40420"/>
    <w:rsid w:val="00B4060B"/>
    <w:rsid w:val="00B40724"/>
    <w:rsid w:val="00B40CAF"/>
    <w:rsid w:val="00B40DB6"/>
    <w:rsid w:val="00B413B0"/>
    <w:rsid w:val="00B417B9"/>
    <w:rsid w:val="00B418B8"/>
    <w:rsid w:val="00B41D83"/>
    <w:rsid w:val="00B420B8"/>
    <w:rsid w:val="00B42528"/>
    <w:rsid w:val="00B4272F"/>
    <w:rsid w:val="00B43161"/>
    <w:rsid w:val="00B44021"/>
    <w:rsid w:val="00B4437B"/>
    <w:rsid w:val="00B44668"/>
    <w:rsid w:val="00B44694"/>
    <w:rsid w:val="00B44A7D"/>
    <w:rsid w:val="00B44AE9"/>
    <w:rsid w:val="00B44BBD"/>
    <w:rsid w:val="00B44D41"/>
    <w:rsid w:val="00B4661D"/>
    <w:rsid w:val="00B46D0D"/>
    <w:rsid w:val="00B46E63"/>
    <w:rsid w:val="00B50B35"/>
    <w:rsid w:val="00B50ED6"/>
    <w:rsid w:val="00B51070"/>
    <w:rsid w:val="00B51BAF"/>
    <w:rsid w:val="00B51EA1"/>
    <w:rsid w:val="00B52402"/>
    <w:rsid w:val="00B528A1"/>
    <w:rsid w:val="00B53A60"/>
    <w:rsid w:val="00B53E8C"/>
    <w:rsid w:val="00B53F06"/>
    <w:rsid w:val="00B54021"/>
    <w:rsid w:val="00B541D8"/>
    <w:rsid w:val="00B5468D"/>
    <w:rsid w:val="00B548DD"/>
    <w:rsid w:val="00B54D2D"/>
    <w:rsid w:val="00B556F3"/>
    <w:rsid w:val="00B55738"/>
    <w:rsid w:val="00B55E57"/>
    <w:rsid w:val="00B55F7B"/>
    <w:rsid w:val="00B56347"/>
    <w:rsid w:val="00B563D7"/>
    <w:rsid w:val="00B56B78"/>
    <w:rsid w:val="00B570C4"/>
    <w:rsid w:val="00B57132"/>
    <w:rsid w:val="00B571FB"/>
    <w:rsid w:val="00B57642"/>
    <w:rsid w:val="00B6039B"/>
    <w:rsid w:val="00B60525"/>
    <w:rsid w:val="00B608BA"/>
    <w:rsid w:val="00B60E04"/>
    <w:rsid w:val="00B61704"/>
    <w:rsid w:val="00B61D29"/>
    <w:rsid w:val="00B62029"/>
    <w:rsid w:val="00B62610"/>
    <w:rsid w:val="00B6263E"/>
    <w:rsid w:val="00B629C6"/>
    <w:rsid w:val="00B63F4C"/>
    <w:rsid w:val="00B642C3"/>
    <w:rsid w:val="00B64F3D"/>
    <w:rsid w:val="00B65519"/>
    <w:rsid w:val="00B65A3E"/>
    <w:rsid w:val="00B6636D"/>
    <w:rsid w:val="00B6698E"/>
    <w:rsid w:val="00B66B7F"/>
    <w:rsid w:val="00B67273"/>
    <w:rsid w:val="00B67947"/>
    <w:rsid w:val="00B67D7E"/>
    <w:rsid w:val="00B67FC8"/>
    <w:rsid w:val="00B7008E"/>
    <w:rsid w:val="00B703D0"/>
    <w:rsid w:val="00B70472"/>
    <w:rsid w:val="00B710FB"/>
    <w:rsid w:val="00B71CB1"/>
    <w:rsid w:val="00B720BC"/>
    <w:rsid w:val="00B7235F"/>
    <w:rsid w:val="00B726A8"/>
    <w:rsid w:val="00B728CA"/>
    <w:rsid w:val="00B72978"/>
    <w:rsid w:val="00B7333B"/>
    <w:rsid w:val="00B7383D"/>
    <w:rsid w:val="00B73ABF"/>
    <w:rsid w:val="00B73C53"/>
    <w:rsid w:val="00B740ED"/>
    <w:rsid w:val="00B7410F"/>
    <w:rsid w:val="00B743B2"/>
    <w:rsid w:val="00B7468A"/>
    <w:rsid w:val="00B74695"/>
    <w:rsid w:val="00B746C3"/>
    <w:rsid w:val="00B74745"/>
    <w:rsid w:val="00B7474D"/>
    <w:rsid w:val="00B74801"/>
    <w:rsid w:val="00B75BFA"/>
    <w:rsid w:val="00B75C70"/>
    <w:rsid w:val="00B76549"/>
    <w:rsid w:val="00B76C76"/>
    <w:rsid w:val="00B77152"/>
    <w:rsid w:val="00B77280"/>
    <w:rsid w:val="00B775C4"/>
    <w:rsid w:val="00B77792"/>
    <w:rsid w:val="00B77961"/>
    <w:rsid w:val="00B77BE8"/>
    <w:rsid w:val="00B801E0"/>
    <w:rsid w:val="00B80ABC"/>
    <w:rsid w:val="00B8126D"/>
    <w:rsid w:val="00B814C1"/>
    <w:rsid w:val="00B8193B"/>
    <w:rsid w:val="00B81F2C"/>
    <w:rsid w:val="00B81F59"/>
    <w:rsid w:val="00B824D0"/>
    <w:rsid w:val="00B8291E"/>
    <w:rsid w:val="00B82C8A"/>
    <w:rsid w:val="00B82F41"/>
    <w:rsid w:val="00B83586"/>
    <w:rsid w:val="00B83777"/>
    <w:rsid w:val="00B84F72"/>
    <w:rsid w:val="00B85090"/>
    <w:rsid w:val="00B853E4"/>
    <w:rsid w:val="00B86189"/>
    <w:rsid w:val="00B8714F"/>
    <w:rsid w:val="00B871AA"/>
    <w:rsid w:val="00B87A50"/>
    <w:rsid w:val="00B87EB2"/>
    <w:rsid w:val="00B90028"/>
    <w:rsid w:val="00B9005F"/>
    <w:rsid w:val="00B9017F"/>
    <w:rsid w:val="00B907AB"/>
    <w:rsid w:val="00B90871"/>
    <w:rsid w:val="00B91416"/>
    <w:rsid w:val="00B91B3E"/>
    <w:rsid w:val="00B922CA"/>
    <w:rsid w:val="00B94042"/>
    <w:rsid w:val="00B94679"/>
    <w:rsid w:val="00B950A9"/>
    <w:rsid w:val="00B951C5"/>
    <w:rsid w:val="00B95232"/>
    <w:rsid w:val="00B954B8"/>
    <w:rsid w:val="00B955E5"/>
    <w:rsid w:val="00B95822"/>
    <w:rsid w:val="00B95883"/>
    <w:rsid w:val="00B95E92"/>
    <w:rsid w:val="00B960AD"/>
    <w:rsid w:val="00B971A2"/>
    <w:rsid w:val="00B972B4"/>
    <w:rsid w:val="00B973E8"/>
    <w:rsid w:val="00B97D99"/>
    <w:rsid w:val="00BA0217"/>
    <w:rsid w:val="00BA0D06"/>
    <w:rsid w:val="00BA11EB"/>
    <w:rsid w:val="00BA135D"/>
    <w:rsid w:val="00BA168E"/>
    <w:rsid w:val="00BA240E"/>
    <w:rsid w:val="00BA2819"/>
    <w:rsid w:val="00BA2D09"/>
    <w:rsid w:val="00BA3917"/>
    <w:rsid w:val="00BA39BF"/>
    <w:rsid w:val="00BA3B49"/>
    <w:rsid w:val="00BA3F02"/>
    <w:rsid w:val="00BA440A"/>
    <w:rsid w:val="00BA455B"/>
    <w:rsid w:val="00BA4D8B"/>
    <w:rsid w:val="00BA4ED3"/>
    <w:rsid w:val="00BA5C09"/>
    <w:rsid w:val="00BA5D50"/>
    <w:rsid w:val="00BA6182"/>
    <w:rsid w:val="00BA61C7"/>
    <w:rsid w:val="00BA67E3"/>
    <w:rsid w:val="00BA7046"/>
    <w:rsid w:val="00BA7544"/>
    <w:rsid w:val="00BA7A81"/>
    <w:rsid w:val="00BB02FA"/>
    <w:rsid w:val="00BB0F6B"/>
    <w:rsid w:val="00BB30F9"/>
    <w:rsid w:val="00BB4C5E"/>
    <w:rsid w:val="00BB5186"/>
    <w:rsid w:val="00BB53D0"/>
    <w:rsid w:val="00BB5DF8"/>
    <w:rsid w:val="00BB5E7B"/>
    <w:rsid w:val="00BB60AB"/>
    <w:rsid w:val="00BB60C2"/>
    <w:rsid w:val="00BB647F"/>
    <w:rsid w:val="00BB6566"/>
    <w:rsid w:val="00BB6682"/>
    <w:rsid w:val="00BB6C8C"/>
    <w:rsid w:val="00BB6CC3"/>
    <w:rsid w:val="00BB74E5"/>
    <w:rsid w:val="00BB779C"/>
    <w:rsid w:val="00BB7996"/>
    <w:rsid w:val="00BB7DA6"/>
    <w:rsid w:val="00BC04E9"/>
    <w:rsid w:val="00BC0A09"/>
    <w:rsid w:val="00BC0E93"/>
    <w:rsid w:val="00BC187E"/>
    <w:rsid w:val="00BC19F7"/>
    <w:rsid w:val="00BC1A5C"/>
    <w:rsid w:val="00BC1D83"/>
    <w:rsid w:val="00BC1E32"/>
    <w:rsid w:val="00BC2463"/>
    <w:rsid w:val="00BC2575"/>
    <w:rsid w:val="00BC2C80"/>
    <w:rsid w:val="00BC2C91"/>
    <w:rsid w:val="00BC2D1A"/>
    <w:rsid w:val="00BC33CC"/>
    <w:rsid w:val="00BC3B83"/>
    <w:rsid w:val="00BC3EE3"/>
    <w:rsid w:val="00BC4358"/>
    <w:rsid w:val="00BC43DA"/>
    <w:rsid w:val="00BC447E"/>
    <w:rsid w:val="00BC449F"/>
    <w:rsid w:val="00BC467A"/>
    <w:rsid w:val="00BC46B0"/>
    <w:rsid w:val="00BC4799"/>
    <w:rsid w:val="00BC483D"/>
    <w:rsid w:val="00BC52B2"/>
    <w:rsid w:val="00BC5370"/>
    <w:rsid w:val="00BC53EA"/>
    <w:rsid w:val="00BC54CB"/>
    <w:rsid w:val="00BC5791"/>
    <w:rsid w:val="00BC5BD7"/>
    <w:rsid w:val="00BC5BF2"/>
    <w:rsid w:val="00BC5CB7"/>
    <w:rsid w:val="00BC6355"/>
    <w:rsid w:val="00BC63AF"/>
    <w:rsid w:val="00BC699F"/>
    <w:rsid w:val="00BC6DE1"/>
    <w:rsid w:val="00BC75FF"/>
    <w:rsid w:val="00BC78AB"/>
    <w:rsid w:val="00BC7981"/>
    <w:rsid w:val="00BC7FCE"/>
    <w:rsid w:val="00BD0B52"/>
    <w:rsid w:val="00BD0D2A"/>
    <w:rsid w:val="00BD0DBE"/>
    <w:rsid w:val="00BD14E0"/>
    <w:rsid w:val="00BD1ED7"/>
    <w:rsid w:val="00BD28D2"/>
    <w:rsid w:val="00BD2922"/>
    <w:rsid w:val="00BD2C27"/>
    <w:rsid w:val="00BD300A"/>
    <w:rsid w:val="00BD30D8"/>
    <w:rsid w:val="00BD33B9"/>
    <w:rsid w:val="00BD3C5D"/>
    <w:rsid w:val="00BD4CF0"/>
    <w:rsid w:val="00BD5BA5"/>
    <w:rsid w:val="00BD6603"/>
    <w:rsid w:val="00BD6D53"/>
    <w:rsid w:val="00BD6FFA"/>
    <w:rsid w:val="00BD7064"/>
    <w:rsid w:val="00BD715E"/>
    <w:rsid w:val="00BD749C"/>
    <w:rsid w:val="00BE163B"/>
    <w:rsid w:val="00BE183F"/>
    <w:rsid w:val="00BE187E"/>
    <w:rsid w:val="00BE1B9B"/>
    <w:rsid w:val="00BE1D95"/>
    <w:rsid w:val="00BE296C"/>
    <w:rsid w:val="00BE2B8E"/>
    <w:rsid w:val="00BE31D3"/>
    <w:rsid w:val="00BE3CD0"/>
    <w:rsid w:val="00BE419A"/>
    <w:rsid w:val="00BE41C8"/>
    <w:rsid w:val="00BE429D"/>
    <w:rsid w:val="00BE43F8"/>
    <w:rsid w:val="00BE4779"/>
    <w:rsid w:val="00BE492B"/>
    <w:rsid w:val="00BE498C"/>
    <w:rsid w:val="00BE4E44"/>
    <w:rsid w:val="00BE6E20"/>
    <w:rsid w:val="00BE7342"/>
    <w:rsid w:val="00BE7CDA"/>
    <w:rsid w:val="00BF04D8"/>
    <w:rsid w:val="00BF0BE2"/>
    <w:rsid w:val="00BF0CA2"/>
    <w:rsid w:val="00BF13A1"/>
    <w:rsid w:val="00BF13DF"/>
    <w:rsid w:val="00BF155E"/>
    <w:rsid w:val="00BF15F8"/>
    <w:rsid w:val="00BF1AF5"/>
    <w:rsid w:val="00BF2026"/>
    <w:rsid w:val="00BF2216"/>
    <w:rsid w:val="00BF2512"/>
    <w:rsid w:val="00BF2A04"/>
    <w:rsid w:val="00BF3401"/>
    <w:rsid w:val="00BF366A"/>
    <w:rsid w:val="00BF3CD6"/>
    <w:rsid w:val="00BF3EDB"/>
    <w:rsid w:val="00BF487B"/>
    <w:rsid w:val="00BF4B81"/>
    <w:rsid w:val="00BF551E"/>
    <w:rsid w:val="00BF5E8A"/>
    <w:rsid w:val="00BF6119"/>
    <w:rsid w:val="00BF61AB"/>
    <w:rsid w:val="00BF627B"/>
    <w:rsid w:val="00BF69ED"/>
    <w:rsid w:val="00BF7835"/>
    <w:rsid w:val="00C0065F"/>
    <w:rsid w:val="00C00D60"/>
    <w:rsid w:val="00C00E5A"/>
    <w:rsid w:val="00C01D92"/>
    <w:rsid w:val="00C02986"/>
    <w:rsid w:val="00C03811"/>
    <w:rsid w:val="00C04484"/>
    <w:rsid w:val="00C045C5"/>
    <w:rsid w:val="00C04876"/>
    <w:rsid w:val="00C04CDC"/>
    <w:rsid w:val="00C052FB"/>
    <w:rsid w:val="00C054AD"/>
    <w:rsid w:val="00C05692"/>
    <w:rsid w:val="00C05733"/>
    <w:rsid w:val="00C05A0F"/>
    <w:rsid w:val="00C0603D"/>
    <w:rsid w:val="00C061AE"/>
    <w:rsid w:val="00C075EC"/>
    <w:rsid w:val="00C10980"/>
    <w:rsid w:val="00C10AD4"/>
    <w:rsid w:val="00C11122"/>
    <w:rsid w:val="00C111A6"/>
    <w:rsid w:val="00C11FB3"/>
    <w:rsid w:val="00C12598"/>
    <w:rsid w:val="00C12D67"/>
    <w:rsid w:val="00C13151"/>
    <w:rsid w:val="00C14A6D"/>
    <w:rsid w:val="00C14D99"/>
    <w:rsid w:val="00C14DB0"/>
    <w:rsid w:val="00C14DCF"/>
    <w:rsid w:val="00C160B9"/>
    <w:rsid w:val="00C1615A"/>
    <w:rsid w:val="00C16419"/>
    <w:rsid w:val="00C165D6"/>
    <w:rsid w:val="00C16CC0"/>
    <w:rsid w:val="00C17125"/>
    <w:rsid w:val="00C17D46"/>
    <w:rsid w:val="00C17E73"/>
    <w:rsid w:val="00C17EA9"/>
    <w:rsid w:val="00C20BDA"/>
    <w:rsid w:val="00C20DE2"/>
    <w:rsid w:val="00C21012"/>
    <w:rsid w:val="00C2103A"/>
    <w:rsid w:val="00C218ED"/>
    <w:rsid w:val="00C21FA9"/>
    <w:rsid w:val="00C22498"/>
    <w:rsid w:val="00C22DD2"/>
    <w:rsid w:val="00C231DF"/>
    <w:rsid w:val="00C2338C"/>
    <w:rsid w:val="00C23676"/>
    <w:rsid w:val="00C23BFE"/>
    <w:rsid w:val="00C23F86"/>
    <w:rsid w:val="00C24118"/>
    <w:rsid w:val="00C24B3F"/>
    <w:rsid w:val="00C25034"/>
    <w:rsid w:val="00C25603"/>
    <w:rsid w:val="00C25842"/>
    <w:rsid w:val="00C25987"/>
    <w:rsid w:val="00C25BCF"/>
    <w:rsid w:val="00C26572"/>
    <w:rsid w:val="00C26EB0"/>
    <w:rsid w:val="00C275A9"/>
    <w:rsid w:val="00C276D5"/>
    <w:rsid w:val="00C27760"/>
    <w:rsid w:val="00C307E5"/>
    <w:rsid w:val="00C30820"/>
    <w:rsid w:val="00C308A4"/>
    <w:rsid w:val="00C31205"/>
    <w:rsid w:val="00C316B5"/>
    <w:rsid w:val="00C31745"/>
    <w:rsid w:val="00C31776"/>
    <w:rsid w:val="00C3178F"/>
    <w:rsid w:val="00C32A16"/>
    <w:rsid w:val="00C32C05"/>
    <w:rsid w:val="00C339FE"/>
    <w:rsid w:val="00C33A57"/>
    <w:rsid w:val="00C34728"/>
    <w:rsid w:val="00C34DA1"/>
    <w:rsid w:val="00C351C8"/>
    <w:rsid w:val="00C353DC"/>
    <w:rsid w:val="00C3576C"/>
    <w:rsid w:val="00C373CF"/>
    <w:rsid w:val="00C3744A"/>
    <w:rsid w:val="00C37536"/>
    <w:rsid w:val="00C37558"/>
    <w:rsid w:val="00C37703"/>
    <w:rsid w:val="00C37CE2"/>
    <w:rsid w:val="00C38365"/>
    <w:rsid w:val="00C40C1F"/>
    <w:rsid w:val="00C4110E"/>
    <w:rsid w:val="00C4140A"/>
    <w:rsid w:val="00C41ACE"/>
    <w:rsid w:val="00C4374B"/>
    <w:rsid w:val="00C4398B"/>
    <w:rsid w:val="00C43D1D"/>
    <w:rsid w:val="00C44018"/>
    <w:rsid w:val="00C44171"/>
    <w:rsid w:val="00C44289"/>
    <w:rsid w:val="00C44407"/>
    <w:rsid w:val="00C4449A"/>
    <w:rsid w:val="00C44E6F"/>
    <w:rsid w:val="00C4575C"/>
    <w:rsid w:val="00C4582A"/>
    <w:rsid w:val="00C45974"/>
    <w:rsid w:val="00C462CD"/>
    <w:rsid w:val="00C467F9"/>
    <w:rsid w:val="00C46956"/>
    <w:rsid w:val="00C46C35"/>
    <w:rsid w:val="00C46CF5"/>
    <w:rsid w:val="00C4706B"/>
    <w:rsid w:val="00C473ED"/>
    <w:rsid w:val="00C475F4"/>
    <w:rsid w:val="00C47832"/>
    <w:rsid w:val="00C4795C"/>
    <w:rsid w:val="00C5032B"/>
    <w:rsid w:val="00C51512"/>
    <w:rsid w:val="00C51890"/>
    <w:rsid w:val="00C526B4"/>
    <w:rsid w:val="00C5293A"/>
    <w:rsid w:val="00C52AC8"/>
    <w:rsid w:val="00C52C54"/>
    <w:rsid w:val="00C53213"/>
    <w:rsid w:val="00C5340A"/>
    <w:rsid w:val="00C538C0"/>
    <w:rsid w:val="00C53B68"/>
    <w:rsid w:val="00C54323"/>
    <w:rsid w:val="00C546E1"/>
    <w:rsid w:val="00C54AE3"/>
    <w:rsid w:val="00C5609D"/>
    <w:rsid w:val="00C5641F"/>
    <w:rsid w:val="00C5696F"/>
    <w:rsid w:val="00C56C43"/>
    <w:rsid w:val="00C56CE9"/>
    <w:rsid w:val="00C574E8"/>
    <w:rsid w:val="00C5773E"/>
    <w:rsid w:val="00C57B00"/>
    <w:rsid w:val="00C60BA7"/>
    <w:rsid w:val="00C62205"/>
    <w:rsid w:val="00C6225E"/>
    <w:rsid w:val="00C62C35"/>
    <w:rsid w:val="00C63209"/>
    <w:rsid w:val="00C6361E"/>
    <w:rsid w:val="00C63661"/>
    <w:rsid w:val="00C63C66"/>
    <w:rsid w:val="00C64324"/>
    <w:rsid w:val="00C643A8"/>
    <w:rsid w:val="00C65013"/>
    <w:rsid w:val="00C655D9"/>
    <w:rsid w:val="00C668B5"/>
    <w:rsid w:val="00C66B92"/>
    <w:rsid w:val="00C67743"/>
    <w:rsid w:val="00C7072A"/>
    <w:rsid w:val="00C7085A"/>
    <w:rsid w:val="00C709B4"/>
    <w:rsid w:val="00C70E9A"/>
    <w:rsid w:val="00C70F33"/>
    <w:rsid w:val="00C7159A"/>
    <w:rsid w:val="00C71B24"/>
    <w:rsid w:val="00C71D53"/>
    <w:rsid w:val="00C722E0"/>
    <w:rsid w:val="00C72844"/>
    <w:rsid w:val="00C72D09"/>
    <w:rsid w:val="00C72F88"/>
    <w:rsid w:val="00C732C8"/>
    <w:rsid w:val="00C73508"/>
    <w:rsid w:val="00C73AB6"/>
    <w:rsid w:val="00C73B42"/>
    <w:rsid w:val="00C7410F"/>
    <w:rsid w:val="00C74382"/>
    <w:rsid w:val="00C74516"/>
    <w:rsid w:val="00C74588"/>
    <w:rsid w:val="00C745A0"/>
    <w:rsid w:val="00C753A8"/>
    <w:rsid w:val="00C75498"/>
    <w:rsid w:val="00C7578B"/>
    <w:rsid w:val="00C760C0"/>
    <w:rsid w:val="00C763EC"/>
    <w:rsid w:val="00C76CBB"/>
    <w:rsid w:val="00C76D9D"/>
    <w:rsid w:val="00C76E93"/>
    <w:rsid w:val="00C76EE9"/>
    <w:rsid w:val="00C80D73"/>
    <w:rsid w:val="00C80DB5"/>
    <w:rsid w:val="00C81832"/>
    <w:rsid w:val="00C82A07"/>
    <w:rsid w:val="00C82C1B"/>
    <w:rsid w:val="00C82DB2"/>
    <w:rsid w:val="00C82F2D"/>
    <w:rsid w:val="00C82F4E"/>
    <w:rsid w:val="00C83245"/>
    <w:rsid w:val="00C83A8B"/>
    <w:rsid w:val="00C83EDD"/>
    <w:rsid w:val="00C84998"/>
    <w:rsid w:val="00C84CD3"/>
    <w:rsid w:val="00C84E1F"/>
    <w:rsid w:val="00C850D5"/>
    <w:rsid w:val="00C85744"/>
    <w:rsid w:val="00C8594C"/>
    <w:rsid w:val="00C85B52"/>
    <w:rsid w:val="00C864B7"/>
    <w:rsid w:val="00C868C6"/>
    <w:rsid w:val="00C86A48"/>
    <w:rsid w:val="00C8722C"/>
    <w:rsid w:val="00C87E50"/>
    <w:rsid w:val="00C90E8C"/>
    <w:rsid w:val="00C91167"/>
    <w:rsid w:val="00C9151B"/>
    <w:rsid w:val="00C92399"/>
    <w:rsid w:val="00C92400"/>
    <w:rsid w:val="00C928A8"/>
    <w:rsid w:val="00C92D1C"/>
    <w:rsid w:val="00C92EC3"/>
    <w:rsid w:val="00C92F4A"/>
    <w:rsid w:val="00C93034"/>
    <w:rsid w:val="00C93432"/>
    <w:rsid w:val="00C93583"/>
    <w:rsid w:val="00C93C3F"/>
    <w:rsid w:val="00C941D5"/>
    <w:rsid w:val="00C94540"/>
    <w:rsid w:val="00C94D58"/>
    <w:rsid w:val="00C95081"/>
    <w:rsid w:val="00C96029"/>
    <w:rsid w:val="00C96FC8"/>
    <w:rsid w:val="00C9700B"/>
    <w:rsid w:val="00C97838"/>
    <w:rsid w:val="00C97E6A"/>
    <w:rsid w:val="00C97EA6"/>
    <w:rsid w:val="00C97F0E"/>
    <w:rsid w:val="00CA0910"/>
    <w:rsid w:val="00CA0D9A"/>
    <w:rsid w:val="00CA10E3"/>
    <w:rsid w:val="00CA1A0F"/>
    <w:rsid w:val="00CA1FD8"/>
    <w:rsid w:val="00CA3CF5"/>
    <w:rsid w:val="00CA42E4"/>
    <w:rsid w:val="00CA464C"/>
    <w:rsid w:val="00CA5233"/>
    <w:rsid w:val="00CA5EBC"/>
    <w:rsid w:val="00CA61E1"/>
    <w:rsid w:val="00CA67AC"/>
    <w:rsid w:val="00CA6B72"/>
    <w:rsid w:val="00CA6DAB"/>
    <w:rsid w:val="00CA787D"/>
    <w:rsid w:val="00CB0D6B"/>
    <w:rsid w:val="00CB1821"/>
    <w:rsid w:val="00CB1A6D"/>
    <w:rsid w:val="00CB1AA0"/>
    <w:rsid w:val="00CB1DDE"/>
    <w:rsid w:val="00CB1F4A"/>
    <w:rsid w:val="00CB1F5C"/>
    <w:rsid w:val="00CB21C5"/>
    <w:rsid w:val="00CB2C60"/>
    <w:rsid w:val="00CB2F87"/>
    <w:rsid w:val="00CB3F74"/>
    <w:rsid w:val="00CB4B87"/>
    <w:rsid w:val="00CB4D97"/>
    <w:rsid w:val="00CB5277"/>
    <w:rsid w:val="00CB545D"/>
    <w:rsid w:val="00CB59E0"/>
    <w:rsid w:val="00CB5B8B"/>
    <w:rsid w:val="00CB5BFA"/>
    <w:rsid w:val="00CB5F46"/>
    <w:rsid w:val="00CB5FD8"/>
    <w:rsid w:val="00CB6983"/>
    <w:rsid w:val="00CB6C52"/>
    <w:rsid w:val="00CB6D93"/>
    <w:rsid w:val="00CB76CB"/>
    <w:rsid w:val="00CC1498"/>
    <w:rsid w:val="00CC18DB"/>
    <w:rsid w:val="00CC1A57"/>
    <w:rsid w:val="00CC2950"/>
    <w:rsid w:val="00CC2AB0"/>
    <w:rsid w:val="00CC3410"/>
    <w:rsid w:val="00CC3A05"/>
    <w:rsid w:val="00CC3EE0"/>
    <w:rsid w:val="00CC4B9D"/>
    <w:rsid w:val="00CC4DFF"/>
    <w:rsid w:val="00CC653A"/>
    <w:rsid w:val="00CC67DE"/>
    <w:rsid w:val="00CC68C5"/>
    <w:rsid w:val="00CC7145"/>
    <w:rsid w:val="00CD05A9"/>
    <w:rsid w:val="00CD11C2"/>
    <w:rsid w:val="00CD143F"/>
    <w:rsid w:val="00CD2066"/>
    <w:rsid w:val="00CD316D"/>
    <w:rsid w:val="00CD321E"/>
    <w:rsid w:val="00CD35CD"/>
    <w:rsid w:val="00CD3686"/>
    <w:rsid w:val="00CD3993"/>
    <w:rsid w:val="00CD3A88"/>
    <w:rsid w:val="00CD3C9F"/>
    <w:rsid w:val="00CD4715"/>
    <w:rsid w:val="00CD55E2"/>
    <w:rsid w:val="00CD58F6"/>
    <w:rsid w:val="00CD5AE8"/>
    <w:rsid w:val="00CD66D4"/>
    <w:rsid w:val="00CD6E59"/>
    <w:rsid w:val="00CD6F9B"/>
    <w:rsid w:val="00CD76D3"/>
    <w:rsid w:val="00CE0364"/>
    <w:rsid w:val="00CE1003"/>
    <w:rsid w:val="00CE1074"/>
    <w:rsid w:val="00CE124F"/>
    <w:rsid w:val="00CE19AD"/>
    <w:rsid w:val="00CE1AC9"/>
    <w:rsid w:val="00CE1CF7"/>
    <w:rsid w:val="00CE26B8"/>
    <w:rsid w:val="00CE299B"/>
    <w:rsid w:val="00CE2CBB"/>
    <w:rsid w:val="00CE2E9E"/>
    <w:rsid w:val="00CE2EC5"/>
    <w:rsid w:val="00CE3066"/>
    <w:rsid w:val="00CE3156"/>
    <w:rsid w:val="00CE366F"/>
    <w:rsid w:val="00CE3FE3"/>
    <w:rsid w:val="00CE422F"/>
    <w:rsid w:val="00CE465B"/>
    <w:rsid w:val="00CE4C41"/>
    <w:rsid w:val="00CE5A45"/>
    <w:rsid w:val="00CE5FDC"/>
    <w:rsid w:val="00CE6776"/>
    <w:rsid w:val="00CE70BF"/>
    <w:rsid w:val="00CE7ABA"/>
    <w:rsid w:val="00CE7BEA"/>
    <w:rsid w:val="00CE7C55"/>
    <w:rsid w:val="00CF02DC"/>
    <w:rsid w:val="00CF0850"/>
    <w:rsid w:val="00CF10F1"/>
    <w:rsid w:val="00CF161D"/>
    <w:rsid w:val="00CF1692"/>
    <w:rsid w:val="00CF16EF"/>
    <w:rsid w:val="00CF1A99"/>
    <w:rsid w:val="00CF23E4"/>
    <w:rsid w:val="00CF2C50"/>
    <w:rsid w:val="00CF3537"/>
    <w:rsid w:val="00CF39AD"/>
    <w:rsid w:val="00CF39EC"/>
    <w:rsid w:val="00CF3AAD"/>
    <w:rsid w:val="00CF48A1"/>
    <w:rsid w:val="00CF4A77"/>
    <w:rsid w:val="00CF4D2C"/>
    <w:rsid w:val="00CF4DB9"/>
    <w:rsid w:val="00CF5156"/>
    <w:rsid w:val="00CF58A5"/>
    <w:rsid w:val="00CF595A"/>
    <w:rsid w:val="00CF59F4"/>
    <w:rsid w:val="00CF630C"/>
    <w:rsid w:val="00CF6364"/>
    <w:rsid w:val="00CF63D6"/>
    <w:rsid w:val="00CF66C1"/>
    <w:rsid w:val="00CF6A45"/>
    <w:rsid w:val="00CF6DAD"/>
    <w:rsid w:val="00CF777C"/>
    <w:rsid w:val="00CF7B63"/>
    <w:rsid w:val="00D0046A"/>
    <w:rsid w:val="00D01164"/>
    <w:rsid w:val="00D01330"/>
    <w:rsid w:val="00D02C36"/>
    <w:rsid w:val="00D02D27"/>
    <w:rsid w:val="00D02F4A"/>
    <w:rsid w:val="00D03064"/>
    <w:rsid w:val="00D037E4"/>
    <w:rsid w:val="00D03C9B"/>
    <w:rsid w:val="00D03DF5"/>
    <w:rsid w:val="00D03FF4"/>
    <w:rsid w:val="00D040FB"/>
    <w:rsid w:val="00D0419E"/>
    <w:rsid w:val="00D041AE"/>
    <w:rsid w:val="00D050FB"/>
    <w:rsid w:val="00D051D8"/>
    <w:rsid w:val="00D05D84"/>
    <w:rsid w:val="00D05E97"/>
    <w:rsid w:val="00D060EE"/>
    <w:rsid w:val="00D066BF"/>
    <w:rsid w:val="00D06A77"/>
    <w:rsid w:val="00D06B0E"/>
    <w:rsid w:val="00D06D50"/>
    <w:rsid w:val="00D07CA2"/>
    <w:rsid w:val="00D07D4A"/>
    <w:rsid w:val="00D105BA"/>
    <w:rsid w:val="00D10B69"/>
    <w:rsid w:val="00D10B86"/>
    <w:rsid w:val="00D11BA1"/>
    <w:rsid w:val="00D11DBD"/>
    <w:rsid w:val="00D124EF"/>
    <w:rsid w:val="00D127D9"/>
    <w:rsid w:val="00D1293F"/>
    <w:rsid w:val="00D12BDC"/>
    <w:rsid w:val="00D12D24"/>
    <w:rsid w:val="00D139E5"/>
    <w:rsid w:val="00D13C52"/>
    <w:rsid w:val="00D14015"/>
    <w:rsid w:val="00D149FE"/>
    <w:rsid w:val="00D14C6D"/>
    <w:rsid w:val="00D14CDD"/>
    <w:rsid w:val="00D14D4B"/>
    <w:rsid w:val="00D14FB1"/>
    <w:rsid w:val="00D15AEB"/>
    <w:rsid w:val="00D15C0E"/>
    <w:rsid w:val="00D161F4"/>
    <w:rsid w:val="00D1650C"/>
    <w:rsid w:val="00D16709"/>
    <w:rsid w:val="00D16E3C"/>
    <w:rsid w:val="00D17139"/>
    <w:rsid w:val="00D1744D"/>
    <w:rsid w:val="00D17900"/>
    <w:rsid w:val="00D204C9"/>
    <w:rsid w:val="00D20800"/>
    <w:rsid w:val="00D209E5"/>
    <w:rsid w:val="00D20AE2"/>
    <w:rsid w:val="00D213E4"/>
    <w:rsid w:val="00D2175B"/>
    <w:rsid w:val="00D219FB"/>
    <w:rsid w:val="00D2207E"/>
    <w:rsid w:val="00D2262A"/>
    <w:rsid w:val="00D2262C"/>
    <w:rsid w:val="00D22645"/>
    <w:rsid w:val="00D226A4"/>
    <w:rsid w:val="00D22C0E"/>
    <w:rsid w:val="00D22C86"/>
    <w:rsid w:val="00D22EB3"/>
    <w:rsid w:val="00D23056"/>
    <w:rsid w:val="00D23378"/>
    <w:rsid w:val="00D23629"/>
    <w:rsid w:val="00D23703"/>
    <w:rsid w:val="00D24C3F"/>
    <w:rsid w:val="00D263C9"/>
    <w:rsid w:val="00D26583"/>
    <w:rsid w:val="00D26E7C"/>
    <w:rsid w:val="00D26EF8"/>
    <w:rsid w:val="00D26FDE"/>
    <w:rsid w:val="00D2767C"/>
    <w:rsid w:val="00D27882"/>
    <w:rsid w:val="00D27907"/>
    <w:rsid w:val="00D27A18"/>
    <w:rsid w:val="00D27F27"/>
    <w:rsid w:val="00D300EA"/>
    <w:rsid w:val="00D315D1"/>
    <w:rsid w:val="00D319B0"/>
    <w:rsid w:val="00D31D9D"/>
    <w:rsid w:val="00D320A2"/>
    <w:rsid w:val="00D3242D"/>
    <w:rsid w:val="00D3261E"/>
    <w:rsid w:val="00D33182"/>
    <w:rsid w:val="00D331AE"/>
    <w:rsid w:val="00D333F2"/>
    <w:rsid w:val="00D3389F"/>
    <w:rsid w:val="00D33CA2"/>
    <w:rsid w:val="00D33EF4"/>
    <w:rsid w:val="00D33F53"/>
    <w:rsid w:val="00D340C6"/>
    <w:rsid w:val="00D34FAA"/>
    <w:rsid w:val="00D365DC"/>
    <w:rsid w:val="00D3693A"/>
    <w:rsid w:val="00D402AE"/>
    <w:rsid w:val="00D402C3"/>
    <w:rsid w:val="00D40792"/>
    <w:rsid w:val="00D40A17"/>
    <w:rsid w:val="00D41022"/>
    <w:rsid w:val="00D41669"/>
    <w:rsid w:val="00D41ACD"/>
    <w:rsid w:val="00D41FEC"/>
    <w:rsid w:val="00D42618"/>
    <w:rsid w:val="00D42FDB"/>
    <w:rsid w:val="00D4367E"/>
    <w:rsid w:val="00D43850"/>
    <w:rsid w:val="00D442B4"/>
    <w:rsid w:val="00D444F1"/>
    <w:rsid w:val="00D44666"/>
    <w:rsid w:val="00D446FA"/>
    <w:rsid w:val="00D452B6"/>
    <w:rsid w:val="00D457F8"/>
    <w:rsid w:val="00D45C07"/>
    <w:rsid w:val="00D45CBB"/>
    <w:rsid w:val="00D46028"/>
    <w:rsid w:val="00D471BF"/>
    <w:rsid w:val="00D47990"/>
    <w:rsid w:val="00D47BA1"/>
    <w:rsid w:val="00D47CAF"/>
    <w:rsid w:val="00D50BF1"/>
    <w:rsid w:val="00D50DEF"/>
    <w:rsid w:val="00D519AA"/>
    <w:rsid w:val="00D519B3"/>
    <w:rsid w:val="00D523A5"/>
    <w:rsid w:val="00D52E48"/>
    <w:rsid w:val="00D530E1"/>
    <w:rsid w:val="00D53564"/>
    <w:rsid w:val="00D537F9"/>
    <w:rsid w:val="00D54362"/>
    <w:rsid w:val="00D54834"/>
    <w:rsid w:val="00D54B09"/>
    <w:rsid w:val="00D54C38"/>
    <w:rsid w:val="00D54CB9"/>
    <w:rsid w:val="00D55351"/>
    <w:rsid w:val="00D556F0"/>
    <w:rsid w:val="00D55BAC"/>
    <w:rsid w:val="00D56189"/>
    <w:rsid w:val="00D56228"/>
    <w:rsid w:val="00D56566"/>
    <w:rsid w:val="00D57230"/>
    <w:rsid w:val="00D5736E"/>
    <w:rsid w:val="00D573F9"/>
    <w:rsid w:val="00D600D2"/>
    <w:rsid w:val="00D6013A"/>
    <w:rsid w:val="00D6034C"/>
    <w:rsid w:val="00D60501"/>
    <w:rsid w:val="00D60F35"/>
    <w:rsid w:val="00D61372"/>
    <w:rsid w:val="00D61846"/>
    <w:rsid w:val="00D61866"/>
    <w:rsid w:val="00D61B97"/>
    <w:rsid w:val="00D61DD8"/>
    <w:rsid w:val="00D62118"/>
    <w:rsid w:val="00D624BC"/>
    <w:rsid w:val="00D62680"/>
    <w:rsid w:val="00D62AD1"/>
    <w:rsid w:val="00D62AF6"/>
    <w:rsid w:val="00D631B9"/>
    <w:rsid w:val="00D6368E"/>
    <w:rsid w:val="00D63804"/>
    <w:rsid w:val="00D63B5D"/>
    <w:rsid w:val="00D63C11"/>
    <w:rsid w:val="00D647D8"/>
    <w:rsid w:val="00D64A6C"/>
    <w:rsid w:val="00D64EC4"/>
    <w:rsid w:val="00D655DE"/>
    <w:rsid w:val="00D655FC"/>
    <w:rsid w:val="00D65CAB"/>
    <w:rsid w:val="00D668BA"/>
    <w:rsid w:val="00D668D4"/>
    <w:rsid w:val="00D66A18"/>
    <w:rsid w:val="00D66C7F"/>
    <w:rsid w:val="00D67068"/>
    <w:rsid w:val="00D679F6"/>
    <w:rsid w:val="00D700E9"/>
    <w:rsid w:val="00D705D0"/>
    <w:rsid w:val="00D70D8C"/>
    <w:rsid w:val="00D736C1"/>
    <w:rsid w:val="00D73C11"/>
    <w:rsid w:val="00D747DA"/>
    <w:rsid w:val="00D74997"/>
    <w:rsid w:val="00D74C3A"/>
    <w:rsid w:val="00D7519A"/>
    <w:rsid w:val="00D76581"/>
    <w:rsid w:val="00D76DEA"/>
    <w:rsid w:val="00D76EAF"/>
    <w:rsid w:val="00D778B2"/>
    <w:rsid w:val="00D8082B"/>
    <w:rsid w:val="00D810B1"/>
    <w:rsid w:val="00D81412"/>
    <w:rsid w:val="00D81752"/>
    <w:rsid w:val="00D81EB1"/>
    <w:rsid w:val="00D8207D"/>
    <w:rsid w:val="00D825DB"/>
    <w:rsid w:val="00D82ADE"/>
    <w:rsid w:val="00D83035"/>
    <w:rsid w:val="00D8304D"/>
    <w:rsid w:val="00D83163"/>
    <w:rsid w:val="00D833B2"/>
    <w:rsid w:val="00D833CA"/>
    <w:rsid w:val="00D834F2"/>
    <w:rsid w:val="00D836C0"/>
    <w:rsid w:val="00D839E6"/>
    <w:rsid w:val="00D83A16"/>
    <w:rsid w:val="00D83F35"/>
    <w:rsid w:val="00D83F72"/>
    <w:rsid w:val="00D84716"/>
    <w:rsid w:val="00D84771"/>
    <w:rsid w:val="00D84EB1"/>
    <w:rsid w:val="00D85439"/>
    <w:rsid w:val="00D8579D"/>
    <w:rsid w:val="00D860CE"/>
    <w:rsid w:val="00D8641A"/>
    <w:rsid w:val="00D86B79"/>
    <w:rsid w:val="00D86D44"/>
    <w:rsid w:val="00D8704F"/>
    <w:rsid w:val="00D874FF"/>
    <w:rsid w:val="00D90FC6"/>
    <w:rsid w:val="00D91382"/>
    <w:rsid w:val="00D9184C"/>
    <w:rsid w:val="00D918DB"/>
    <w:rsid w:val="00D91F9B"/>
    <w:rsid w:val="00D9205D"/>
    <w:rsid w:val="00D92327"/>
    <w:rsid w:val="00D9250D"/>
    <w:rsid w:val="00D92703"/>
    <w:rsid w:val="00D92FB3"/>
    <w:rsid w:val="00D930DA"/>
    <w:rsid w:val="00D934B0"/>
    <w:rsid w:val="00D93630"/>
    <w:rsid w:val="00D93749"/>
    <w:rsid w:val="00D9410F"/>
    <w:rsid w:val="00D95603"/>
    <w:rsid w:val="00D958B1"/>
    <w:rsid w:val="00D95BDD"/>
    <w:rsid w:val="00D95C8F"/>
    <w:rsid w:val="00D95E17"/>
    <w:rsid w:val="00D95E4D"/>
    <w:rsid w:val="00D968CD"/>
    <w:rsid w:val="00D96951"/>
    <w:rsid w:val="00D96C5C"/>
    <w:rsid w:val="00D97394"/>
    <w:rsid w:val="00D978C2"/>
    <w:rsid w:val="00D97D6D"/>
    <w:rsid w:val="00DA0134"/>
    <w:rsid w:val="00DA0204"/>
    <w:rsid w:val="00DA1184"/>
    <w:rsid w:val="00DA279C"/>
    <w:rsid w:val="00DA27BA"/>
    <w:rsid w:val="00DA3A2D"/>
    <w:rsid w:val="00DA3B40"/>
    <w:rsid w:val="00DA564F"/>
    <w:rsid w:val="00DA57DE"/>
    <w:rsid w:val="00DA6283"/>
    <w:rsid w:val="00DA6B91"/>
    <w:rsid w:val="00DB0449"/>
    <w:rsid w:val="00DB053F"/>
    <w:rsid w:val="00DB05E9"/>
    <w:rsid w:val="00DB07B3"/>
    <w:rsid w:val="00DB0D4C"/>
    <w:rsid w:val="00DB1FB5"/>
    <w:rsid w:val="00DB2741"/>
    <w:rsid w:val="00DB2B23"/>
    <w:rsid w:val="00DB2F7E"/>
    <w:rsid w:val="00DB38BF"/>
    <w:rsid w:val="00DB39CE"/>
    <w:rsid w:val="00DB3C67"/>
    <w:rsid w:val="00DB477C"/>
    <w:rsid w:val="00DB5EB3"/>
    <w:rsid w:val="00DB63A9"/>
    <w:rsid w:val="00DB6912"/>
    <w:rsid w:val="00DB6E04"/>
    <w:rsid w:val="00DB6EAC"/>
    <w:rsid w:val="00DB6F1D"/>
    <w:rsid w:val="00DB6FA3"/>
    <w:rsid w:val="00DB7180"/>
    <w:rsid w:val="00DB7399"/>
    <w:rsid w:val="00DB748C"/>
    <w:rsid w:val="00DB76E6"/>
    <w:rsid w:val="00DB7B8A"/>
    <w:rsid w:val="00DB7CC3"/>
    <w:rsid w:val="00DC0321"/>
    <w:rsid w:val="00DC0C98"/>
    <w:rsid w:val="00DC0DC4"/>
    <w:rsid w:val="00DC0DEE"/>
    <w:rsid w:val="00DC13B4"/>
    <w:rsid w:val="00DC175A"/>
    <w:rsid w:val="00DC2418"/>
    <w:rsid w:val="00DC2763"/>
    <w:rsid w:val="00DC36FE"/>
    <w:rsid w:val="00DC43E4"/>
    <w:rsid w:val="00DC44BC"/>
    <w:rsid w:val="00DC4B03"/>
    <w:rsid w:val="00DC5075"/>
    <w:rsid w:val="00DC5B80"/>
    <w:rsid w:val="00DC6F48"/>
    <w:rsid w:val="00DC73FD"/>
    <w:rsid w:val="00DC740F"/>
    <w:rsid w:val="00DC79BE"/>
    <w:rsid w:val="00DD00D4"/>
    <w:rsid w:val="00DD0231"/>
    <w:rsid w:val="00DD03A1"/>
    <w:rsid w:val="00DD0B12"/>
    <w:rsid w:val="00DD0BA1"/>
    <w:rsid w:val="00DD0E44"/>
    <w:rsid w:val="00DD1A82"/>
    <w:rsid w:val="00DD1C0F"/>
    <w:rsid w:val="00DD1DC5"/>
    <w:rsid w:val="00DD25B2"/>
    <w:rsid w:val="00DD2D0B"/>
    <w:rsid w:val="00DD3352"/>
    <w:rsid w:val="00DD3385"/>
    <w:rsid w:val="00DD36CF"/>
    <w:rsid w:val="00DD3EF5"/>
    <w:rsid w:val="00DD40BE"/>
    <w:rsid w:val="00DD43E1"/>
    <w:rsid w:val="00DD45EF"/>
    <w:rsid w:val="00DD567F"/>
    <w:rsid w:val="00DD59BF"/>
    <w:rsid w:val="00DD5C68"/>
    <w:rsid w:val="00DD6223"/>
    <w:rsid w:val="00DD6A00"/>
    <w:rsid w:val="00DD6D63"/>
    <w:rsid w:val="00DD7198"/>
    <w:rsid w:val="00DD7668"/>
    <w:rsid w:val="00DD77A3"/>
    <w:rsid w:val="00DD77D9"/>
    <w:rsid w:val="00DD7CCD"/>
    <w:rsid w:val="00DE037D"/>
    <w:rsid w:val="00DE0A2C"/>
    <w:rsid w:val="00DE11AC"/>
    <w:rsid w:val="00DE1312"/>
    <w:rsid w:val="00DE1502"/>
    <w:rsid w:val="00DE1D1F"/>
    <w:rsid w:val="00DE227E"/>
    <w:rsid w:val="00DE25F3"/>
    <w:rsid w:val="00DE263A"/>
    <w:rsid w:val="00DE26B9"/>
    <w:rsid w:val="00DE27ED"/>
    <w:rsid w:val="00DE321C"/>
    <w:rsid w:val="00DE3EAB"/>
    <w:rsid w:val="00DE3FDC"/>
    <w:rsid w:val="00DE563C"/>
    <w:rsid w:val="00DE58B8"/>
    <w:rsid w:val="00DE635D"/>
    <w:rsid w:val="00DE6B41"/>
    <w:rsid w:val="00DE6BE2"/>
    <w:rsid w:val="00DE71F6"/>
    <w:rsid w:val="00DE7535"/>
    <w:rsid w:val="00DE7626"/>
    <w:rsid w:val="00DE7977"/>
    <w:rsid w:val="00DF0717"/>
    <w:rsid w:val="00DF071C"/>
    <w:rsid w:val="00DF0899"/>
    <w:rsid w:val="00DF0A2B"/>
    <w:rsid w:val="00DF0F2B"/>
    <w:rsid w:val="00DF1763"/>
    <w:rsid w:val="00DF18B6"/>
    <w:rsid w:val="00DF1DFE"/>
    <w:rsid w:val="00DF231C"/>
    <w:rsid w:val="00DF284E"/>
    <w:rsid w:val="00DF2EA4"/>
    <w:rsid w:val="00DF33E6"/>
    <w:rsid w:val="00DF3A3B"/>
    <w:rsid w:val="00DF43C7"/>
    <w:rsid w:val="00DF45F5"/>
    <w:rsid w:val="00DF4640"/>
    <w:rsid w:val="00DF695D"/>
    <w:rsid w:val="00DF6F10"/>
    <w:rsid w:val="00DF6F34"/>
    <w:rsid w:val="00DF70B1"/>
    <w:rsid w:val="00DF7124"/>
    <w:rsid w:val="00DF721F"/>
    <w:rsid w:val="00DF75EF"/>
    <w:rsid w:val="00DF7BAC"/>
    <w:rsid w:val="00E003D1"/>
    <w:rsid w:val="00E00A26"/>
    <w:rsid w:val="00E00CC9"/>
    <w:rsid w:val="00E013E3"/>
    <w:rsid w:val="00E02F17"/>
    <w:rsid w:val="00E03C30"/>
    <w:rsid w:val="00E040BE"/>
    <w:rsid w:val="00E04125"/>
    <w:rsid w:val="00E04178"/>
    <w:rsid w:val="00E049F3"/>
    <w:rsid w:val="00E0589F"/>
    <w:rsid w:val="00E05EB4"/>
    <w:rsid w:val="00E05F94"/>
    <w:rsid w:val="00E0767B"/>
    <w:rsid w:val="00E106A9"/>
    <w:rsid w:val="00E10902"/>
    <w:rsid w:val="00E10FEC"/>
    <w:rsid w:val="00E117B2"/>
    <w:rsid w:val="00E12005"/>
    <w:rsid w:val="00E125C0"/>
    <w:rsid w:val="00E133B2"/>
    <w:rsid w:val="00E13F99"/>
    <w:rsid w:val="00E14DB1"/>
    <w:rsid w:val="00E154C4"/>
    <w:rsid w:val="00E1568A"/>
    <w:rsid w:val="00E16121"/>
    <w:rsid w:val="00E164D3"/>
    <w:rsid w:val="00E16564"/>
    <w:rsid w:val="00E165F3"/>
    <w:rsid w:val="00E16953"/>
    <w:rsid w:val="00E16D0D"/>
    <w:rsid w:val="00E1756C"/>
    <w:rsid w:val="00E17AE8"/>
    <w:rsid w:val="00E17B1D"/>
    <w:rsid w:val="00E20369"/>
    <w:rsid w:val="00E207D3"/>
    <w:rsid w:val="00E20BF8"/>
    <w:rsid w:val="00E20D8F"/>
    <w:rsid w:val="00E217E3"/>
    <w:rsid w:val="00E21808"/>
    <w:rsid w:val="00E21B93"/>
    <w:rsid w:val="00E22455"/>
    <w:rsid w:val="00E22F33"/>
    <w:rsid w:val="00E237A2"/>
    <w:rsid w:val="00E23B36"/>
    <w:rsid w:val="00E23C34"/>
    <w:rsid w:val="00E2428B"/>
    <w:rsid w:val="00E244D8"/>
    <w:rsid w:val="00E245E4"/>
    <w:rsid w:val="00E2476B"/>
    <w:rsid w:val="00E24DF8"/>
    <w:rsid w:val="00E24FD4"/>
    <w:rsid w:val="00E252F6"/>
    <w:rsid w:val="00E25525"/>
    <w:rsid w:val="00E25931"/>
    <w:rsid w:val="00E25F19"/>
    <w:rsid w:val="00E269AD"/>
    <w:rsid w:val="00E271F7"/>
    <w:rsid w:val="00E27CD3"/>
    <w:rsid w:val="00E27EA7"/>
    <w:rsid w:val="00E27ECE"/>
    <w:rsid w:val="00E301C3"/>
    <w:rsid w:val="00E30A4B"/>
    <w:rsid w:val="00E30AF0"/>
    <w:rsid w:val="00E31D11"/>
    <w:rsid w:val="00E32297"/>
    <w:rsid w:val="00E3247C"/>
    <w:rsid w:val="00E32521"/>
    <w:rsid w:val="00E3267C"/>
    <w:rsid w:val="00E3292D"/>
    <w:rsid w:val="00E330D2"/>
    <w:rsid w:val="00E3349A"/>
    <w:rsid w:val="00E3354F"/>
    <w:rsid w:val="00E33BF4"/>
    <w:rsid w:val="00E33E21"/>
    <w:rsid w:val="00E340BE"/>
    <w:rsid w:val="00E34C72"/>
    <w:rsid w:val="00E355D9"/>
    <w:rsid w:val="00E35847"/>
    <w:rsid w:val="00E35E40"/>
    <w:rsid w:val="00E360F9"/>
    <w:rsid w:val="00E3640B"/>
    <w:rsid w:val="00E364A0"/>
    <w:rsid w:val="00E372DB"/>
    <w:rsid w:val="00E406A7"/>
    <w:rsid w:val="00E40954"/>
    <w:rsid w:val="00E41DC0"/>
    <w:rsid w:val="00E42435"/>
    <w:rsid w:val="00E424E8"/>
    <w:rsid w:val="00E42D2F"/>
    <w:rsid w:val="00E42DE5"/>
    <w:rsid w:val="00E43D16"/>
    <w:rsid w:val="00E44BEA"/>
    <w:rsid w:val="00E44F6C"/>
    <w:rsid w:val="00E44FCB"/>
    <w:rsid w:val="00E4501E"/>
    <w:rsid w:val="00E45046"/>
    <w:rsid w:val="00E460FC"/>
    <w:rsid w:val="00E46273"/>
    <w:rsid w:val="00E4645F"/>
    <w:rsid w:val="00E46993"/>
    <w:rsid w:val="00E46C89"/>
    <w:rsid w:val="00E46D36"/>
    <w:rsid w:val="00E47221"/>
    <w:rsid w:val="00E47674"/>
    <w:rsid w:val="00E4795D"/>
    <w:rsid w:val="00E47ACC"/>
    <w:rsid w:val="00E503A9"/>
    <w:rsid w:val="00E50E5C"/>
    <w:rsid w:val="00E5126F"/>
    <w:rsid w:val="00E51888"/>
    <w:rsid w:val="00E5194D"/>
    <w:rsid w:val="00E519D0"/>
    <w:rsid w:val="00E51E97"/>
    <w:rsid w:val="00E52E53"/>
    <w:rsid w:val="00E53061"/>
    <w:rsid w:val="00E5420B"/>
    <w:rsid w:val="00E54237"/>
    <w:rsid w:val="00E549B6"/>
    <w:rsid w:val="00E55EF2"/>
    <w:rsid w:val="00E56354"/>
    <w:rsid w:val="00E564A5"/>
    <w:rsid w:val="00E57AA4"/>
    <w:rsid w:val="00E60A5F"/>
    <w:rsid w:val="00E61C9C"/>
    <w:rsid w:val="00E629C3"/>
    <w:rsid w:val="00E63050"/>
    <w:rsid w:val="00E6308A"/>
    <w:rsid w:val="00E6419B"/>
    <w:rsid w:val="00E64CAF"/>
    <w:rsid w:val="00E65056"/>
    <w:rsid w:val="00E6546E"/>
    <w:rsid w:val="00E6591E"/>
    <w:rsid w:val="00E65FE9"/>
    <w:rsid w:val="00E66613"/>
    <w:rsid w:val="00E66D48"/>
    <w:rsid w:val="00E67452"/>
    <w:rsid w:val="00E702CA"/>
    <w:rsid w:val="00E702DF"/>
    <w:rsid w:val="00E70BF9"/>
    <w:rsid w:val="00E71162"/>
    <w:rsid w:val="00E711DE"/>
    <w:rsid w:val="00E72FEC"/>
    <w:rsid w:val="00E73F23"/>
    <w:rsid w:val="00E73FC8"/>
    <w:rsid w:val="00E743A0"/>
    <w:rsid w:val="00E74C17"/>
    <w:rsid w:val="00E74DFF"/>
    <w:rsid w:val="00E74F2C"/>
    <w:rsid w:val="00E762C8"/>
    <w:rsid w:val="00E76344"/>
    <w:rsid w:val="00E76E46"/>
    <w:rsid w:val="00E777C8"/>
    <w:rsid w:val="00E800F6"/>
    <w:rsid w:val="00E8043D"/>
    <w:rsid w:val="00E80523"/>
    <w:rsid w:val="00E806F2"/>
    <w:rsid w:val="00E8091B"/>
    <w:rsid w:val="00E815E9"/>
    <w:rsid w:val="00E8167E"/>
    <w:rsid w:val="00E81A6A"/>
    <w:rsid w:val="00E8283B"/>
    <w:rsid w:val="00E8414C"/>
    <w:rsid w:val="00E84E17"/>
    <w:rsid w:val="00E84FB7"/>
    <w:rsid w:val="00E853C7"/>
    <w:rsid w:val="00E85463"/>
    <w:rsid w:val="00E862DB"/>
    <w:rsid w:val="00E86E00"/>
    <w:rsid w:val="00E87330"/>
    <w:rsid w:val="00E8733C"/>
    <w:rsid w:val="00E877C9"/>
    <w:rsid w:val="00E902D2"/>
    <w:rsid w:val="00E90D01"/>
    <w:rsid w:val="00E917D2"/>
    <w:rsid w:val="00E917FE"/>
    <w:rsid w:val="00E92352"/>
    <w:rsid w:val="00E923BD"/>
    <w:rsid w:val="00E92497"/>
    <w:rsid w:val="00E924DD"/>
    <w:rsid w:val="00E925EA"/>
    <w:rsid w:val="00E9271D"/>
    <w:rsid w:val="00E9300A"/>
    <w:rsid w:val="00E9364B"/>
    <w:rsid w:val="00E93E07"/>
    <w:rsid w:val="00E9400D"/>
    <w:rsid w:val="00E94047"/>
    <w:rsid w:val="00E94EA4"/>
    <w:rsid w:val="00E954BB"/>
    <w:rsid w:val="00E9590D"/>
    <w:rsid w:val="00E95B13"/>
    <w:rsid w:val="00E95B19"/>
    <w:rsid w:val="00E9610F"/>
    <w:rsid w:val="00E961AE"/>
    <w:rsid w:val="00E9628D"/>
    <w:rsid w:val="00E96E9F"/>
    <w:rsid w:val="00E97677"/>
    <w:rsid w:val="00E979A6"/>
    <w:rsid w:val="00E97DAD"/>
    <w:rsid w:val="00EA0551"/>
    <w:rsid w:val="00EA10A3"/>
    <w:rsid w:val="00EA1545"/>
    <w:rsid w:val="00EA18A8"/>
    <w:rsid w:val="00EA2414"/>
    <w:rsid w:val="00EA246E"/>
    <w:rsid w:val="00EA26D3"/>
    <w:rsid w:val="00EA27C2"/>
    <w:rsid w:val="00EA2843"/>
    <w:rsid w:val="00EA33CF"/>
    <w:rsid w:val="00EA3898"/>
    <w:rsid w:val="00EA3939"/>
    <w:rsid w:val="00EA4A13"/>
    <w:rsid w:val="00EA4DF8"/>
    <w:rsid w:val="00EA514F"/>
    <w:rsid w:val="00EA58C0"/>
    <w:rsid w:val="00EA6044"/>
    <w:rsid w:val="00EA6437"/>
    <w:rsid w:val="00EA69F6"/>
    <w:rsid w:val="00EA71EE"/>
    <w:rsid w:val="00EA727B"/>
    <w:rsid w:val="00EA7AC3"/>
    <w:rsid w:val="00EB04AC"/>
    <w:rsid w:val="00EB0AB4"/>
    <w:rsid w:val="00EB0B36"/>
    <w:rsid w:val="00EB0ED5"/>
    <w:rsid w:val="00EB0F18"/>
    <w:rsid w:val="00EB1807"/>
    <w:rsid w:val="00EB1AA3"/>
    <w:rsid w:val="00EB2D09"/>
    <w:rsid w:val="00EB2EFC"/>
    <w:rsid w:val="00EB3DAE"/>
    <w:rsid w:val="00EB3F34"/>
    <w:rsid w:val="00EB4C54"/>
    <w:rsid w:val="00EB4F5F"/>
    <w:rsid w:val="00EB5C22"/>
    <w:rsid w:val="00EB5E1C"/>
    <w:rsid w:val="00EB64F1"/>
    <w:rsid w:val="00EB6794"/>
    <w:rsid w:val="00EB6BE8"/>
    <w:rsid w:val="00EB707F"/>
    <w:rsid w:val="00EB72AB"/>
    <w:rsid w:val="00EB77BC"/>
    <w:rsid w:val="00EB7DFD"/>
    <w:rsid w:val="00EC06D5"/>
    <w:rsid w:val="00EC0BC3"/>
    <w:rsid w:val="00EC0F2B"/>
    <w:rsid w:val="00EC0F94"/>
    <w:rsid w:val="00EC1112"/>
    <w:rsid w:val="00EC25BC"/>
    <w:rsid w:val="00EC260F"/>
    <w:rsid w:val="00EC2A06"/>
    <w:rsid w:val="00EC2A4C"/>
    <w:rsid w:val="00EC2A56"/>
    <w:rsid w:val="00EC2AB0"/>
    <w:rsid w:val="00EC2B7B"/>
    <w:rsid w:val="00EC2DC7"/>
    <w:rsid w:val="00EC39DE"/>
    <w:rsid w:val="00EC3AC7"/>
    <w:rsid w:val="00EC3ACA"/>
    <w:rsid w:val="00EC400B"/>
    <w:rsid w:val="00EC5B78"/>
    <w:rsid w:val="00EC5CB1"/>
    <w:rsid w:val="00EC6878"/>
    <w:rsid w:val="00EC6AB8"/>
    <w:rsid w:val="00EC6E05"/>
    <w:rsid w:val="00EC70FD"/>
    <w:rsid w:val="00EC7BA5"/>
    <w:rsid w:val="00ED03D2"/>
    <w:rsid w:val="00ED0758"/>
    <w:rsid w:val="00ED0F5F"/>
    <w:rsid w:val="00ED1B29"/>
    <w:rsid w:val="00ED20E8"/>
    <w:rsid w:val="00ED2644"/>
    <w:rsid w:val="00ED2B48"/>
    <w:rsid w:val="00ED30DE"/>
    <w:rsid w:val="00ED336B"/>
    <w:rsid w:val="00ED443E"/>
    <w:rsid w:val="00ED528F"/>
    <w:rsid w:val="00ED5846"/>
    <w:rsid w:val="00ED58EC"/>
    <w:rsid w:val="00ED5E9D"/>
    <w:rsid w:val="00ED6185"/>
    <w:rsid w:val="00ED6DB6"/>
    <w:rsid w:val="00ED71A4"/>
    <w:rsid w:val="00ED791C"/>
    <w:rsid w:val="00ED7A0F"/>
    <w:rsid w:val="00ED7A3F"/>
    <w:rsid w:val="00ED7ABB"/>
    <w:rsid w:val="00ED7EA1"/>
    <w:rsid w:val="00EE0334"/>
    <w:rsid w:val="00EE0807"/>
    <w:rsid w:val="00EE0866"/>
    <w:rsid w:val="00EE0A08"/>
    <w:rsid w:val="00EE0C6D"/>
    <w:rsid w:val="00EE10DC"/>
    <w:rsid w:val="00EE16D4"/>
    <w:rsid w:val="00EE17E9"/>
    <w:rsid w:val="00EE2A1E"/>
    <w:rsid w:val="00EE2B18"/>
    <w:rsid w:val="00EE2F15"/>
    <w:rsid w:val="00EE3529"/>
    <w:rsid w:val="00EE4126"/>
    <w:rsid w:val="00EE4329"/>
    <w:rsid w:val="00EE450F"/>
    <w:rsid w:val="00EE4C0E"/>
    <w:rsid w:val="00EE4E68"/>
    <w:rsid w:val="00EE50BB"/>
    <w:rsid w:val="00EE5436"/>
    <w:rsid w:val="00EE6281"/>
    <w:rsid w:val="00EE6302"/>
    <w:rsid w:val="00EE6A8A"/>
    <w:rsid w:val="00EE6F64"/>
    <w:rsid w:val="00EE76D9"/>
    <w:rsid w:val="00EE7F79"/>
    <w:rsid w:val="00EE7F9B"/>
    <w:rsid w:val="00EF0750"/>
    <w:rsid w:val="00EF0E2E"/>
    <w:rsid w:val="00EF1760"/>
    <w:rsid w:val="00EF17B0"/>
    <w:rsid w:val="00EF1F53"/>
    <w:rsid w:val="00EF1F54"/>
    <w:rsid w:val="00EF26BC"/>
    <w:rsid w:val="00EF28E2"/>
    <w:rsid w:val="00EF29BE"/>
    <w:rsid w:val="00EF3274"/>
    <w:rsid w:val="00EF4182"/>
    <w:rsid w:val="00EF48DD"/>
    <w:rsid w:val="00EF4BF5"/>
    <w:rsid w:val="00EF5573"/>
    <w:rsid w:val="00EF56FE"/>
    <w:rsid w:val="00EF5C71"/>
    <w:rsid w:val="00EF60FF"/>
    <w:rsid w:val="00EF6105"/>
    <w:rsid w:val="00EF665C"/>
    <w:rsid w:val="00EF6766"/>
    <w:rsid w:val="00EF6B0F"/>
    <w:rsid w:val="00EF78FA"/>
    <w:rsid w:val="00F0058D"/>
    <w:rsid w:val="00F00838"/>
    <w:rsid w:val="00F014E2"/>
    <w:rsid w:val="00F01AB8"/>
    <w:rsid w:val="00F01B5D"/>
    <w:rsid w:val="00F01D6D"/>
    <w:rsid w:val="00F01DED"/>
    <w:rsid w:val="00F024EE"/>
    <w:rsid w:val="00F024F3"/>
    <w:rsid w:val="00F02A1B"/>
    <w:rsid w:val="00F02F37"/>
    <w:rsid w:val="00F02F95"/>
    <w:rsid w:val="00F03415"/>
    <w:rsid w:val="00F0380E"/>
    <w:rsid w:val="00F039D2"/>
    <w:rsid w:val="00F03ECE"/>
    <w:rsid w:val="00F04648"/>
    <w:rsid w:val="00F04858"/>
    <w:rsid w:val="00F04AD3"/>
    <w:rsid w:val="00F06963"/>
    <w:rsid w:val="00F06BE5"/>
    <w:rsid w:val="00F06DEB"/>
    <w:rsid w:val="00F070C0"/>
    <w:rsid w:val="00F07212"/>
    <w:rsid w:val="00F07825"/>
    <w:rsid w:val="00F07D96"/>
    <w:rsid w:val="00F101AB"/>
    <w:rsid w:val="00F1040D"/>
    <w:rsid w:val="00F106CE"/>
    <w:rsid w:val="00F10977"/>
    <w:rsid w:val="00F10D50"/>
    <w:rsid w:val="00F10E0F"/>
    <w:rsid w:val="00F11221"/>
    <w:rsid w:val="00F119F5"/>
    <w:rsid w:val="00F11EA5"/>
    <w:rsid w:val="00F1219B"/>
    <w:rsid w:val="00F12732"/>
    <w:rsid w:val="00F128F1"/>
    <w:rsid w:val="00F12A70"/>
    <w:rsid w:val="00F12BF9"/>
    <w:rsid w:val="00F12CA8"/>
    <w:rsid w:val="00F130ED"/>
    <w:rsid w:val="00F135DE"/>
    <w:rsid w:val="00F13BA1"/>
    <w:rsid w:val="00F14310"/>
    <w:rsid w:val="00F14390"/>
    <w:rsid w:val="00F14CA3"/>
    <w:rsid w:val="00F15F48"/>
    <w:rsid w:val="00F16677"/>
    <w:rsid w:val="00F170D9"/>
    <w:rsid w:val="00F17BC6"/>
    <w:rsid w:val="00F17C4F"/>
    <w:rsid w:val="00F17C83"/>
    <w:rsid w:val="00F2015F"/>
    <w:rsid w:val="00F2047A"/>
    <w:rsid w:val="00F207A0"/>
    <w:rsid w:val="00F2109E"/>
    <w:rsid w:val="00F21273"/>
    <w:rsid w:val="00F21A0E"/>
    <w:rsid w:val="00F21C3E"/>
    <w:rsid w:val="00F21FD8"/>
    <w:rsid w:val="00F220FB"/>
    <w:rsid w:val="00F22251"/>
    <w:rsid w:val="00F22532"/>
    <w:rsid w:val="00F22852"/>
    <w:rsid w:val="00F22D96"/>
    <w:rsid w:val="00F23463"/>
    <w:rsid w:val="00F23AFC"/>
    <w:rsid w:val="00F23C25"/>
    <w:rsid w:val="00F252CA"/>
    <w:rsid w:val="00F25635"/>
    <w:rsid w:val="00F25A04"/>
    <w:rsid w:val="00F25E89"/>
    <w:rsid w:val="00F2607A"/>
    <w:rsid w:val="00F260B4"/>
    <w:rsid w:val="00F266AB"/>
    <w:rsid w:val="00F27062"/>
    <w:rsid w:val="00F274BD"/>
    <w:rsid w:val="00F279B4"/>
    <w:rsid w:val="00F27C7A"/>
    <w:rsid w:val="00F27CB9"/>
    <w:rsid w:val="00F303F0"/>
    <w:rsid w:val="00F30D08"/>
    <w:rsid w:val="00F30ED3"/>
    <w:rsid w:val="00F31227"/>
    <w:rsid w:val="00F315F5"/>
    <w:rsid w:val="00F31AF5"/>
    <w:rsid w:val="00F328C4"/>
    <w:rsid w:val="00F32916"/>
    <w:rsid w:val="00F32D0D"/>
    <w:rsid w:val="00F32E5F"/>
    <w:rsid w:val="00F32ECF"/>
    <w:rsid w:val="00F33714"/>
    <w:rsid w:val="00F33B9E"/>
    <w:rsid w:val="00F340AC"/>
    <w:rsid w:val="00F34951"/>
    <w:rsid w:val="00F34B7D"/>
    <w:rsid w:val="00F355F6"/>
    <w:rsid w:val="00F357B1"/>
    <w:rsid w:val="00F35E1B"/>
    <w:rsid w:val="00F36F24"/>
    <w:rsid w:val="00F36F99"/>
    <w:rsid w:val="00F37F60"/>
    <w:rsid w:val="00F4078A"/>
    <w:rsid w:val="00F4154A"/>
    <w:rsid w:val="00F4161C"/>
    <w:rsid w:val="00F41E0E"/>
    <w:rsid w:val="00F41F10"/>
    <w:rsid w:val="00F424D3"/>
    <w:rsid w:val="00F429B5"/>
    <w:rsid w:val="00F42D89"/>
    <w:rsid w:val="00F43CE0"/>
    <w:rsid w:val="00F43E51"/>
    <w:rsid w:val="00F43E63"/>
    <w:rsid w:val="00F4442A"/>
    <w:rsid w:val="00F446C2"/>
    <w:rsid w:val="00F44C5F"/>
    <w:rsid w:val="00F44CA3"/>
    <w:rsid w:val="00F44D82"/>
    <w:rsid w:val="00F4514F"/>
    <w:rsid w:val="00F45610"/>
    <w:rsid w:val="00F45BA7"/>
    <w:rsid w:val="00F4618B"/>
    <w:rsid w:val="00F476AC"/>
    <w:rsid w:val="00F47849"/>
    <w:rsid w:val="00F505C8"/>
    <w:rsid w:val="00F50ECC"/>
    <w:rsid w:val="00F51451"/>
    <w:rsid w:val="00F52E6A"/>
    <w:rsid w:val="00F5307C"/>
    <w:rsid w:val="00F5426D"/>
    <w:rsid w:val="00F54E7A"/>
    <w:rsid w:val="00F54F33"/>
    <w:rsid w:val="00F54FAD"/>
    <w:rsid w:val="00F55174"/>
    <w:rsid w:val="00F5535E"/>
    <w:rsid w:val="00F554E9"/>
    <w:rsid w:val="00F55B82"/>
    <w:rsid w:val="00F56A09"/>
    <w:rsid w:val="00F56C71"/>
    <w:rsid w:val="00F57271"/>
    <w:rsid w:val="00F572BE"/>
    <w:rsid w:val="00F5748C"/>
    <w:rsid w:val="00F579D9"/>
    <w:rsid w:val="00F57B4D"/>
    <w:rsid w:val="00F57D0A"/>
    <w:rsid w:val="00F57D9B"/>
    <w:rsid w:val="00F57DA9"/>
    <w:rsid w:val="00F60079"/>
    <w:rsid w:val="00F602E3"/>
    <w:rsid w:val="00F6047A"/>
    <w:rsid w:val="00F60C2B"/>
    <w:rsid w:val="00F615FB"/>
    <w:rsid w:val="00F617AD"/>
    <w:rsid w:val="00F61B09"/>
    <w:rsid w:val="00F61DCD"/>
    <w:rsid w:val="00F62439"/>
    <w:rsid w:val="00F62A3E"/>
    <w:rsid w:val="00F62D7C"/>
    <w:rsid w:val="00F635E9"/>
    <w:rsid w:val="00F6372B"/>
    <w:rsid w:val="00F63BA8"/>
    <w:rsid w:val="00F63D9F"/>
    <w:rsid w:val="00F65038"/>
    <w:rsid w:val="00F65B0D"/>
    <w:rsid w:val="00F65D88"/>
    <w:rsid w:val="00F66052"/>
    <w:rsid w:val="00F66473"/>
    <w:rsid w:val="00F66E60"/>
    <w:rsid w:val="00F675E9"/>
    <w:rsid w:val="00F70792"/>
    <w:rsid w:val="00F70BF2"/>
    <w:rsid w:val="00F71A29"/>
    <w:rsid w:val="00F71B26"/>
    <w:rsid w:val="00F723FA"/>
    <w:rsid w:val="00F724FA"/>
    <w:rsid w:val="00F730EF"/>
    <w:rsid w:val="00F7346A"/>
    <w:rsid w:val="00F73BC6"/>
    <w:rsid w:val="00F73E1E"/>
    <w:rsid w:val="00F741C7"/>
    <w:rsid w:val="00F7465B"/>
    <w:rsid w:val="00F75269"/>
    <w:rsid w:val="00F75AB9"/>
    <w:rsid w:val="00F75CF2"/>
    <w:rsid w:val="00F75E0E"/>
    <w:rsid w:val="00F80313"/>
    <w:rsid w:val="00F803F0"/>
    <w:rsid w:val="00F80EBD"/>
    <w:rsid w:val="00F81896"/>
    <w:rsid w:val="00F81F2D"/>
    <w:rsid w:val="00F82036"/>
    <w:rsid w:val="00F82087"/>
    <w:rsid w:val="00F8237C"/>
    <w:rsid w:val="00F835CF"/>
    <w:rsid w:val="00F83B16"/>
    <w:rsid w:val="00F83FFA"/>
    <w:rsid w:val="00F8483D"/>
    <w:rsid w:val="00F84C8B"/>
    <w:rsid w:val="00F857CB"/>
    <w:rsid w:val="00F86812"/>
    <w:rsid w:val="00F86A0E"/>
    <w:rsid w:val="00F86AC4"/>
    <w:rsid w:val="00F86AD1"/>
    <w:rsid w:val="00F9061F"/>
    <w:rsid w:val="00F90959"/>
    <w:rsid w:val="00F915E9"/>
    <w:rsid w:val="00F9172F"/>
    <w:rsid w:val="00F91CE4"/>
    <w:rsid w:val="00F927CD"/>
    <w:rsid w:val="00F92FC5"/>
    <w:rsid w:val="00F93728"/>
    <w:rsid w:val="00F951DC"/>
    <w:rsid w:val="00F95634"/>
    <w:rsid w:val="00F960B9"/>
    <w:rsid w:val="00F96343"/>
    <w:rsid w:val="00F9645E"/>
    <w:rsid w:val="00F96723"/>
    <w:rsid w:val="00F9679A"/>
    <w:rsid w:val="00F96CDF"/>
    <w:rsid w:val="00F977B0"/>
    <w:rsid w:val="00F97906"/>
    <w:rsid w:val="00F97C0B"/>
    <w:rsid w:val="00F97D78"/>
    <w:rsid w:val="00FA0040"/>
    <w:rsid w:val="00FA03FE"/>
    <w:rsid w:val="00FA0C65"/>
    <w:rsid w:val="00FA0CAD"/>
    <w:rsid w:val="00FA119C"/>
    <w:rsid w:val="00FA1474"/>
    <w:rsid w:val="00FA1983"/>
    <w:rsid w:val="00FA2447"/>
    <w:rsid w:val="00FA2523"/>
    <w:rsid w:val="00FA2C50"/>
    <w:rsid w:val="00FA3BAC"/>
    <w:rsid w:val="00FA494D"/>
    <w:rsid w:val="00FA4CC6"/>
    <w:rsid w:val="00FA5328"/>
    <w:rsid w:val="00FA585C"/>
    <w:rsid w:val="00FA5918"/>
    <w:rsid w:val="00FA62BB"/>
    <w:rsid w:val="00FA67F6"/>
    <w:rsid w:val="00FA7157"/>
    <w:rsid w:val="00FA723B"/>
    <w:rsid w:val="00FA74F4"/>
    <w:rsid w:val="00FA75F1"/>
    <w:rsid w:val="00FB0A82"/>
    <w:rsid w:val="00FB0FBE"/>
    <w:rsid w:val="00FB1AA3"/>
    <w:rsid w:val="00FB2610"/>
    <w:rsid w:val="00FB2836"/>
    <w:rsid w:val="00FB2A12"/>
    <w:rsid w:val="00FB2DE0"/>
    <w:rsid w:val="00FB3840"/>
    <w:rsid w:val="00FB4187"/>
    <w:rsid w:val="00FB4436"/>
    <w:rsid w:val="00FB47F0"/>
    <w:rsid w:val="00FB4AEE"/>
    <w:rsid w:val="00FB4D0F"/>
    <w:rsid w:val="00FB5007"/>
    <w:rsid w:val="00FB50B3"/>
    <w:rsid w:val="00FB63A8"/>
    <w:rsid w:val="00FB686B"/>
    <w:rsid w:val="00FB7A28"/>
    <w:rsid w:val="00FB7A43"/>
    <w:rsid w:val="00FC010A"/>
    <w:rsid w:val="00FC074E"/>
    <w:rsid w:val="00FC0EF8"/>
    <w:rsid w:val="00FC11E9"/>
    <w:rsid w:val="00FC1D2A"/>
    <w:rsid w:val="00FC1E02"/>
    <w:rsid w:val="00FC22E3"/>
    <w:rsid w:val="00FC2A93"/>
    <w:rsid w:val="00FC2D16"/>
    <w:rsid w:val="00FC2D40"/>
    <w:rsid w:val="00FC2F06"/>
    <w:rsid w:val="00FC2FF2"/>
    <w:rsid w:val="00FC337E"/>
    <w:rsid w:val="00FC39B9"/>
    <w:rsid w:val="00FC3CFB"/>
    <w:rsid w:val="00FC5077"/>
    <w:rsid w:val="00FC50BA"/>
    <w:rsid w:val="00FC52CC"/>
    <w:rsid w:val="00FC53A2"/>
    <w:rsid w:val="00FC6428"/>
    <w:rsid w:val="00FC6585"/>
    <w:rsid w:val="00FC6E6D"/>
    <w:rsid w:val="00FC6E83"/>
    <w:rsid w:val="00FC6F9C"/>
    <w:rsid w:val="00FC70F9"/>
    <w:rsid w:val="00FD05CB"/>
    <w:rsid w:val="00FD06A7"/>
    <w:rsid w:val="00FD0A23"/>
    <w:rsid w:val="00FD12C5"/>
    <w:rsid w:val="00FD24CC"/>
    <w:rsid w:val="00FD2F59"/>
    <w:rsid w:val="00FD30D5"/>
    <w:rsid w:val="00FD38A1"/>
    <w:rsid w:val="00FD3FD1"/>
    <w:rsid w:val="00FD46E6"/>
    <w:rsid w:val="00FD4832"/>
    <w:rsid w:val="00FD49ED"/>
    <w:rsid w:val="00FD4A7F"/>
    <w:rsid w:val="00FD5013"/>
    <w:rsid w:val="00FD5163"/>
    <w:rsid w:val="00FD5272"/>
    <w:rsid w:val="00FD5A46"/>
    <w:rsid w:val="00FD6C86"/>
    <w:rsid w:val="00FD71C4"/>
    <w:rsid w:val="00FE007D"/>
    <w:rsid w:val="00FE019A"/>
    <w:rsid w:val="00FE1105"/>
    <w:rsid w:val="00FE1C8C"/>
    <w:rsid w:val="00FE1EBC"/>
    <w:rsid w:val="00FE1F06"/>
    <w:rsid w:val="00FE1FD2"/>
    <w:rsid w:val="00FE2088"/>
    <w:rsid w:val="00FE21FC"/>
    <w:rsid w:val="00FE2400"/>
    <w:rsid w:val="00FE28FB"/>
    <w:rsid w:val="00FE2F98"/>
    <w:rsid w:val="00FE32CB"/>
    <w:rsid w:val="00FE3539"/>
    <w:rsid w:val="00FE4241"/>
    <w:rsid w:val="00FE4B77"/>
    <w:rsid w:val="00FE52D8"/>
    <w:rsid w:val="00FE5506"/>
    <w:rsid w:val="00FE5761"/>
    <w:rsid w:val="00FE60AB"/>
    <w:rsid w:val="00FE6F94"/>
    <w:rsid w:val="00FE73ED"/>
    <w:rsid w:val="00FE7880"/>
    <w:rsid w:val="00FE78E1"/>
    <w:rsid w:val="00FE7F8A"/>
    <w:rsid w:val="00FF03AC"/>
    <w:rsid w:val="00FF0560"/>
    <w:rsid w:val="00FF071B"/>
    <w:rsid w:val="00FF0B00"/>
    <w:rsid w:val="00FF0BDF"/>
    <w:rsid w:val="00FF0D63"/>
    <w:rsid w:val="00FF0DAA"/>
    <w:rsid w:val="00FF1506"/>
    <w:rsid w:val="00FF208D"/>
    <w:rsid w:val="00FF218B"/>
    <w:rsid w:val="00FF310B"/>
    <w:rsid w:val="00FF33F2"/>
    <w:rsid w:val="00FF3D9C"/>
    <w:rsid w:val="00FF4B70"/>
    <w:rsid w:val="00FF4FF2"/>
    <w:rsid w:val="00FF5102"/>
    <w:rsid w:val="00FF51E0"/>
    <w:rsid w:val="00FF5482"/>
    <w:rsid w:val="00FF636E"/>
    <w:rsid w:val="00FF70AE"/>
    <w:rsid w:val="00FF7F4D"/>
    <w:rsid w:val="016BDBED"/>
    <w:rsid w:val="018A5CE4"/>
    <w:rsid w:val="01FA015F"/>
    <w:rsid w:val="020C7CD1"/>
    <w:rsid w:val="028C6170"/>
    <w:rsid w:val="0295DCA7"/>
    <w:rsid w:val="048C37C8"/>
    <w:rsid w:val="0499FA2D"/>
    <w:rsid w:val="04E8FC31"/>
    <w:rsid w:val="05B818AD"/>
    <w:rsid w:val="05ED51F9"/>
    <w:rsid w:val="076E10C1"/>
    <w:rsid w:val="08AC9B1F"/>
    <w:rsid w:val="095EC150"/>
    <w:rsid w:val="0988EE77"/>
    <w:rsid w:val="09C15767"/>
    <w:rsid w:val="0B5EADAB"/>
    <w:rsid w:val="0BDD3E5C"/>
    <w:rsid w:val="0BEEEB74"/>
    <w:rsid w:val="0DB1F805"/>
    <w:rsid w:val="0E93BB14"/>
    <w:rsid w:val="0E96FCFB"/>
    <w:rsid w:val="0ED2FA4C"/>
    <w:rsid w:val="1042C73E"/>
    <w:rsid w:val="10608406"/>
    <w:rsid w:val="109F85BC"/>
    <w:rsid w:val="1100F5EB"/>
    <w:rsid w:val="11395BAC"/>
    <w:rsid w:val="11876EC0"/>
    <w:rsid w:val="12BFA3EA"/>
    <w:rsid w:val="132B3D92"/>
    <w:rsid w:val="1436366D"/>
    <w:rsid w:val="1496FABF"/>
    <w:rsid w:val="14B64C43"/>
    <w:rsid w:val="14F30003"/>
    <w:rsid w:val="15155674"/>
    <w:rsid w:val="157D96CB"/>
    <w:rsid w:val="166532CE"/>
    <w:rsid w:val="16A9E6E0"/>
    <w:rsid w:val="16DEB0BC"/>
    <w:rsid w:val="16EE23EF"/>
    <w:rsid w:val="1727C8A1"/>
    <w:rsid w:val="1846FAC8"/>
    <w:rsid w:val="18766E66"/>
    <w:rsid w:val="1985B901"/>
    <w:rsid w:val="1A090C06"/>
    <w:rsid w:val="1B049631"/>
    <w:rsid w:val="1B79BD4B"/>
    <w:rsid w:val="1C1333D1"/>
    <w:rsid w:val="1C9497F3"/>
    <w:rsid w:val="1D5E59B4"/>
    <w:rsid w:val="1DADB802"/>
    <w:rsid w:val="1E5D6DBF"/>
    <w:rsid w:val="1F98C688"/>
    <w:rsid w:val="1FA74A49"/>
    <w:rsid w:val="1FDABF88"/>
    <w:rsid w:val="20142792"/>
    <w:rsid w:val="2095CCB7"/>
    <w:rsid w:val="20B19C5D"/>
    <w:rsid w:val="212EB5FC"/>
    <w:rsid w:val="21358F23"/>
    <w:rsid w:val="215FBC42"/>
    <w:rsid w:val="221E41B5"/>
    <w:rsid w:val="23F31427"/>
    <w:rsid w:val="23F435EE"/>
    <w:rsid w:val="24279798"/>
    <w:rsid w:val="243284F6"/>
    <w:rsid w:val="24BE0D8C"/>
    <w:rsid w:val="24D0F8A0"/>
    <w:rsid w:val="25EDED05"/>
    <w:rsid w:val="2662A773"/>
    <w:rsid w:val="271404A4"/>
    <w:rsid w:val="2784A72B"/>
    <w:rsid w:val="27C7EC01"/>
    <w:rsid w:val="27E2113D"/>
    <w:rsid w:val="28606728"/>
    <w:rsid w:val="2874C93F"/>
    <w:rsid w:val="295CF8E6"/>
    <w:rsid w:val="2A34B4F6"/>
    <w:rsid w:val="2B077050"/>
    <w:rsid w:val="2B10A2C5"/>
    <w:rsid w:val="2B4AECE7"/>
    <w:rsid w:val="2B7DE9FE"/>
    <w:rsid w:val="2BA82C31"/>
    <w:rsid w:val="2BEEF1D4"/>
    <w:rsid w:val="2C540CFD"/>
    <w:rsid w:val="2C670D57"/>
    <w:rsid w:val="2D07576E"/>
    <w:rsid w:val="2E3A1039"/>
    <w:rsid w:val="2EE19254"/>
    <w:rsid w:val="3005B478"/>
    <w:rsid w:val="30125596"/>
    <w:rsid w:val="30705741"/>
    <w:rsid w:val="332DC8FF"/>
    <w:rsid w:val="338148FF"/>
    <w:rsid w:val="338CE3AF"/>
    <w:rsid w:val="33BF3D9F"/>
    <w:rsid w:val="35F1009C"/>
    <w:rsid w:val="35F68D4C"/>
    <w:rsid w:val="3695F8F7"/>
    <w:rsid w:val="37437F20"/>
    <w:rsid w:val="37CA2378"/>
    <w:rsid w:val="3817E277"/>
    <w:rsid w:val="38339888"/>
    <w:rsid w:val="3897E0AC"/>
    <w:rsid w:val="38E3C98D"/>
    <w:rsid w:val="39940064"/>
    <w:rsid w:val="3A4A49C0"/>
    <w:rsid w:val="3A8CAF59"/>
    <w:rsid w:val="3BC31573"/>
    <w:rsid w:val="3BEBFE99"/>
    <w:rsid w:val="3C839A43"/>
    <w:rsid w:val="3CB1CA0A"/>
    <w:rsid w:val="3CBC07FE"/>
    <w:rsid w:val="3CDAE191"/>
    <w:rsid w:val="3E7AA36A"/>
    <w:rsid w:val="3E83CAA4"/>
    <w:rsid w:val="3EAF74BB"/>
    <w:rsid w:val="3EB7BFB0"/>
    <w:rsid w:val="3F82FE65"/>
    <w:rsid w:val="3FC805C0"/>
    <w:rsid w:val="40C2DC36"/>
    <w:rsid w:val="41256743"/>
    <w:rsid w:val="421AA4C6"/>
    <w:rsid w:val="423F6270"/>
    <w:rsid w:val="4245379F"/>
    <w:rsid w:val="428BAFE8"/>
    <w:rsid w:val="4293954C"/>
    <w:rsid w:val="429C86AC"/>
    <w:rsid w:val="438C1129"/>
    <w:rsid w:val="43D92B54"/>
    <w:rsid w:val="44394F5F"/>
    <w:rsid w:val="451FCDD9"/>
    <w:rsid w:val="457E5428"/>
    <w:rsid w:val="45C9009E"/>
    <w:rsid w:val="460FB957"/>
    <w:rsid w:val="46F4189F"/>
    <w:rsid w:val="472F967E"/>
    <w:rsid w:val="4759ECC9"/>
    <w:rsid w:val="476EA38F"/>
    <w:rsid w:val="48C1197D"/>
    <w:rsid w:val="48C43220"/>
    <w:rsid w:val="48DE82F1"/>
    <w:rsid w:val="4B489093"/>
    <w:rsid w:val="4C5644AF"/>
    <w:rsid w:val="4C8470DF"/>
    <w:rsid w:val="4CB53FC1"/>
    <w:rsid w:val="4D95E60D"/>
    <w:rsid w:val="4DA8AB41"/>
    <w:rsid w:val="4E8B4F1C"/>
    <w:rsid w:val="4EBB06BA"/>
    <w:rsid w:val="4EBFAEFA"/>
    <w:rsid w:val="4EE506D6"/>
    <w:rsid w:val="4FD84DD4"/>
    <w:rsid w:val="50794D5A"/>
    <w:rsid w:val="50875D22"/>
    <w:rsid w:val="50CAF516"/>
    <w:rsid w:val="51ED59F6"/>
    <w:rsid w:val="52F71879"/>
    <w:rsid w:val="53A0DDEB"/>
    <w:rsid w:val="53FF6BC1"/>
    <w:rsid w:val="54A6D41D"/>
    <w:rsid w:val="5625406A"/>
    <w:rsid w:val="5666F954"/>
    <w:rsid w:val="58F44AC0"/>
    <w:rsid w:val="590AE981"/>
    <w:rsid w:val="59297541"/>
    <w:rsid w:val="594EDD1B"/>
    <w:rsid w:val="5A8B553D"/>
    <w:rsid w:val="5AB1B64B"/>
    <w:rsid w:val="5B3ED807"/>
    <w:rsid w:val="5B614496"/>
    <w:rsid w:val="5BE7A81F"/>
    <w:rsid w:val="5BF97B66"/>
    <w:rsid w:val="5CE17F6F"/>
    <w:rsid w:val="5D1200F8"/>
    <w:rsid w:val="5DF4B59C"/>
    <w:rsid w:val="5EDF2910"/>
    <w:rsid w:val="60FD0DB6"/>
    <w:rsid w:val="60FFCBF3"/>
    <w:rsid w:val="63343A20"/>
    <w:rsid w:val="63C9C84A"/>
    <w:rsid w:val="641A4E36"/>
    <w:rsid w:val="6464E3EC"/>
    <w:rsid w:val="64C6CFAB"/>
    <w:rsid w:val="6505482D"/>
    <w:rsid w:val="659118DA"/>
    <w:rsid w:val="65A9E08E"/>
    <w:rsid w:val="65AB324B"/>
    <w:rsid w:val="664E0454"/>
    <w:rsid w:val="668A764E"/>
    <w:rsid w:val="67219709"/>
    <w:rsid w:val="67A2E6F5"/>
    <w:rsid w:val="68EA5AC3"/>
    <w:rsid w:val="69286832"/>
    <w:rsid w:val="69A8E512"/>
    <w:rsid w:val="69BDD36C"/>
    <w:rsid w:val="6B385E5A"/>
    <w:rsid w:val="6B92EFB9"/>
    <w:rsid w:val="6C4D66A2"/>
    <w:rsid w:val="6C889916"/>
    <w:rsid w:val="6D0B3635"/>
    <w:rsid w:val="6E191D8B"/>
    <w:rsid w:val="6E1A0064"/>
    <w:rsid w:val="6E8104D2"/>
    <w:rsid w:val="6F499126"/>
    <w:rsid w:val="6F4E657E"/>
    <w:rsid w:val="6FCF1288"/>
    <w:rsid w:val="70B521B3"/>
    <w:rsid w:val="7185660B"/>
    <w:rsid w:val="71A573A0"/>
    <w:rsid w:val="72043033"/>
    <w:rsid w:val="723FAD83"/>
    <w:rsid w:val="7288F3C0"/>
    <w:rsid w:val="729FDFA1"/>
    <w:rsid w:val="7301276E"/>
    <w:rsid w:val="73807AA8"/>
    <w:rsid w:val="739C67A0"/>
    <w:rsid w:val="73B4D69D"/>
    <w:rsid w:val="78ED6CB1"/>
    <w:rsid w:val="798D20CF"/>
    <w:rsid w:val="7A280406"/>
    <w:rsid w:val="7AD88473"/>
    <w:rsid w:val="7C9E12CC"/>
    <w:rsid w:val="7DD6CD5B"/>
    <w:rsid w:val="7E1BE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8BA12E"/>
  <w14:defaultImageDpi w14:val="330"/>
  <w15:chartTrackingRefBased/>
  <w15:docId w15:val="{110F58E9-F94A-44FB-9DFD-721843AD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A73080"/>
    <w:pPr>
      <w:contextualSpacing w:val="0"/>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qFormat/>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aliases w:val="Hyperlink Cab"/>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spacing w:before="80"/>
      <w:ind w:left="567" w:hanging="283"/>
    </w:pPr>
  </w:style>
  <w:style w:type="paragraph" w:customStyle="1" w:styleId="BulletLevel2">
    <w:name w:val="Bullet Level 2"/>
    <w:basedOn w:val="BulletLevel1"/>
    <w:uiPriority w:val="3"/>
    <w:qFormat/>
    <w:rsid w:val="00851797"/>
    <w:pPr>
      <w:ind w:left="851"/>
    </w:pPr>
  </w:style>
  <w:style w:type="paragraph" w:customStyle="1" w:styleId="BulletLevel3">
    <w:name w:val="Bullet Level 3"/>
    <w:basedOn w:val="BulletLevel2"/>
    <w:uiPriority w:val="3"/>
    <w:qFormat/>
    <w:rsid w:val="00851797"/>
    <w:pPr>
      <w:ind w:left="1135"/>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customStyle="1" w:styleId="Default">
    <w:name w:val="Default"/>
    <w:rsid w:val="009243C2"/>
    <w:pPr>
      <w:autoSpaceDE w:val="0"/>
      <w:autoSpaceDN w:val="0"/>
      <w:adjustRightInd w:val="0"/>
      <w:spacing w:before="0" w:after="0" w:line="240" w:lineRule="auto"/>
    </w:pPr>
    <w:rPr>
      <w:rFonts w:ascii="Raleway" w:hAnsi="Raleway" w:cs="Raleway"/>
      <w:color w:val="000000"/>
      <w:sz w:val="24"/>
      <w:szCs w:val="24"/>
    </w:rPr>
  </w:style>
  <w:style w:type="paragraph" w:customStyle="1" w:styleId="Pa10">
    <w:name w:val="Pa10"/>
    <w:basedOn w:val="Default"/>
    <w:next w:val="Default"/>
    <w:uiPriority w:val="99"/>
    <w:rsid w:val="009243C2"/>
    <w:pPr>
      <w:spacing w:line="201" w:lineRule="atLeast"/>
    </w:pPr>
    <w:rPr>
      <w:rFonts w:cstheme="minorBidi"/>
      <w:color w:val="auto"/>
    </w:rPr>
  </w:style>
  <w:style w:type="paragraph" w:customStyle="1" w:styleId="APSCBlocktext">
    <w:name w:val="APSC Block text"/>
    <w:basedOn w:val="Normal"/>
    <w:qFormat/>
    <w:rsid w:val="009243C2"/>
    <w:pPr>
      <w:spacing w:before="60" w:after="180" w:line="300" w:lineRule="auto"/>
      <w:ind w:right="454"/>
    </w:pPr>
    <w:rPr>
      <w:rFonts w:ascii="Calibri Light" w:eastAsiaTheme="minorEastAsia" w:hAnsi="Calibri Light" w:cs="Calibri Light"/>
      <w:iCs/>
      <w:color w:val="auto"/>
      <w:sz w:val="22"/>
      <w:lang w:eastAsia="en-AU"/>
    </w:rPr>
  </w:style>
  <w:style w:type="character" w:styleId="FollowedHyperlink">
    <w:name w:val="FollowedHyperlink"/>
    <w:basedOn w:val="DefaultParagraphFont"/>
    <w:uiPriority w:val="99"/>
    <w:semiHidden/>
    <w:unhideWhenUsed/>
    <w:rsid w:val="00A84237"/>
    <w:rPr>
      <w:color w:val="AC1749" w:themeColor="followedHyperlink"/>
      <w:u w:val="single"/>
    </w:rPr>
  </w:style>
  <w:style w:type="paragraph" w:styleId="TOC3">
    <w:name w:val="toc 3"/>
    <w:basedOn w:val="Normal"/>
    <w:next w:val="Normal"/>
    <w:autoRedefine/>
    <w:uiPriority w:val="39"/>
    <w:unhideWhenUsed/>
    <w:rsid w:val="00514B6E"/>
    <w:pPr>
      <w:spacing w:after="100"/>
      <w:ind w:left="400"/>
    </w:pPr>
  </w:style>
  <w:style w:type="character" w:styleId="CommentReference">
    <w:name w:val="annotation reference"/>
    <w:basedOn w:val="DefaultParagraphFont"/>
    <w:uiPriority w:val="99"/>
    <w:semiHidden/>
    <w:unhideWhenUsed/>
    <w:rsid w:val="00195504"/>
    <w:rPr>
      <w:sz w:val="16"/>
      <w:szCs w:val="16"/>
    </w:rPr>
  </w:style>
  <w:style w:type="paragraph" w:styleId="CommentText">
    <w:name w:val="annotation text"/>
    <w:basedOn w:val="Normal"/>
    <w:link w:val="CommentTextChar"/>
    <w:uiPriority w:val="99"/>
    <w:unhideWhenUsed/>
    <w:rsid w:val="00195504"/>
    <w:pPr>
      <w:spacing w:line="240" w:lineRule="auto"/>
    </w:pPr>
    <w:rPr>
      <w:szCs w:val="20"/>
    </w:rPr>
  </w:style>
  <w:style w:type="character" w:customStyle="1" w:styleId="CommentTextChar">
    <w:name w:val="Comment Text Char"/>
    <w:basedOn w:val="DefaultParagraphFont"/>
    <w:link w:val="CommentText"/>
    <w:uiPriority w:val="99"/>
    <w:rsid w:val="0019550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5504"/>
    <w:rPr>
      <w:b/>
      <w:bCs/>
    </w:rPr>
  </w:style>
  <w:style w:type="character" w:customStyle="1" w:styleId="CommentSubjectChar">
    <w:name w:val="Comment Subject Char"/>
    <w:basedOn w:val="CommentTextChar"/>
    <w:link w:val="CommentSubject"/>
    <w:uiPriority w:val="99"/>
    <w:semiHidden/>
    <w:rsid w:val="00195504"/>
    <w:rPr>
      <w:b/>
      <w:bCs/>
      <w:color w:val="000000" w:themeColor="text1"/>
      <w:sz w:val="20"/>
      <w:szCs w:val="20"/>
    </w:rPr>
  </w:style>
  <w:style w:type="paragraph" w:styleId="BalloonText">
    <w:name w:val="Balloon Text"/>
    <w:basedOn w:val="Normal"/>
    <w:link w:val="BalloonTextChar"/>
    <w:uiPriority w:val="99"/>
    <w:semiHidden/>
    <w:unhideWhenUsed/>
    <w:rsid w:val="001955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04"/>
    <w:rPr>
      <w:rFonts w:ascii="Segoe UI" w:hAnsi="Segoe UI" w:cs="Segoe UI"/>
      <w:color w:val="000000" w:themeColor="text1"/>
      <w:sz w:val="18"/>
      <w:szCs w:val="18"/>
    </w:rPr>
  </w:style>
  <w:style w:type="paragraph" w:styleId="FootnoteText">
    <w:name w:val="footnote text"/>
    <w:basedOn w:val="Normal"/>
    <w:link w:val="FootnoteTextChar"/>
    <w:uiPriority w:val="99"/>
    <w:semiHidden/>
    <w:unhideWhenUsed/>
    <w:rsid w:val="002D12B4"/>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D12B4"/>
    <w:rPr>
      <w:color w:val="000000" w:themeColor="text1"/>
      <w:sz w:val="20"/>
      <w:szCs w:val="20"/>
    </w:rPr>
  </w:style>
  <w:style w:type="paragraph" w:styleId="EndnoteText">
    <w:name w:val="endnote text"/>
    <w:basedOn w:val="Normal"/>
    <w:link w:val="EndnoteTextChar"/>
    <w:uiPriority w:val="99"/>
    <w:semiHidden/>
    <w:unhideWhenUsed/>
    <w:rsid w:val="00934504"/>
    <w:pPr>
      <w:spacing w:before="0" w:after="0" w:line="240" w:lineRule="auto"/>
    </w:pPr>
    <w:rPr>
      <w:szCs w:val="20"/>
    </w:rPr>
  </w:style>
  <w:style w:type="character" w:customStyle="1" w:styleId="EndnoteTextChar">
    <w:name w:val="Endnote Text Char"/>
    <w:basedOn w:val="DefaultParagraphFont"/>
    <w:link w:val="EndnoteText"/>
    <w:uiPriority w:val="99"/>
    <w:semiHidden/>
    <w:rsid w:val="00934504"/>
    <w:rPr>
      <w:color w:val="000000" w:themeColor="text1"/>
      <w:sz w:val="20"/>
      <w:szCs w:val="20"/>
    </w:rPr>
  </w:style>
  <w:style w:type="character" w:styleId="EndnoteReference">
    <w:name w:val="endnote reference"/>
    <w:basedOn w:val="DefaultParagraphFont"/>
    <w:uiPriority w:val="99"/>
    <w:semiHidden/>
    <w:unhideWhenUsed/>
    <w:rsid w:val="00934504"/>
    <w:rPr>
      <w:vertAlign w:val="superscript"/>
    </w:rPr>
  </w:style>
  <w:style w:type="character" w:customStyle="1" w:styleId="ListParagraphChar">
    <w:name w:val="List Paragraph Char"/>
    <w:aliases w:val="Bullet 1 Char,Bullet Points Char,Dot pt Char,F5 List Paragraph Char,Indicator Text Char,L Char,List Bullet Cab Char,List Paragraph Char Char Char Char,List Paragraph1 Char,List Paragraph11 Char,List Paragraph12 Char,MAIN CONTENT Char"/>
    <w:basedOn w:val="DefaultParagraphFont"/>
    <w:link w:val="ListParagraph"/>
    <w:uiPriority w:val="34"/>
    <w:qFormat/>
    <w:locked/>
    <w:rsid w:val="00B950A9"/>
    <w:rPr>
      <w:rFonts w:ascii="Arial" w:eastAsia="Times New Roman" w:hAnsi="Arial" w:cs="Times New Roman"/>
      <w:color w:val="auto"/>
      <w:sz w:val="20"/>
      <w:szCs w:val="20"/>
      <w:lang w:eastAsia="en-AU"/>
    </w:rPr>
  </w:style>
  <w:style w:type="paragraph" w:styleId="ListParagraph">
    <w:name w:val="List Paragraph"/>
    <w:aliases w:val="Bullet 1,Bullet Points,Dot pt,F5 List Paragraph,Indicator Text,L,List Bullet Cab,List Paragraph Char Char Char,List Paragraph1,List Paragraph11,List Paragraph12,List Paragraph2,MAIN CONTENT,No Spacing1,Numbered Para 1,Recommendation,列,列出段"/>
    <w:basedOn w:val="Normal"/>
    <w:link w:val="ListParagraphChar"/>
    <w:uiPriority w:val="34"/>
    <w:qFormat/>
    <w:rsid w:val="007F4E93"/>
    <w:pPr>
      <w:numPr>
        <w:numId w:val="10"/>
      </w:numPr>
      <w:spacing w:before="240" w:after="240"/>
      <w:contextualSpacing/>
    </w:pPr>
    <w:rPr>
      <w:rFonts w:ascii="Arial" w:eastAsia="Times New Roman" w:hAnsi="Arial" w:cs="Times New Roman"/>
      <w:color w:val="auto"/>
      <w:szCs w:val="20"/>
      <w:lang w:eastAsia="en-AU"/>
    </w:rPr>
  </w:style>
  <w:style w:type="paragraph" w:customStyle="1" w:styleId="BoxBullet">
    <w:name w:val="Box Bullet"/>
    <w:basedOn w:val="Normal"/>
    <w:rsid w:val="00514A71"/>
    <w:pPr>
      <w:numPr>
        <w:numId w:val="8"/>
      </w:numPr>
      <w:spacing w:before="0" w:after="120" w:line="240" w:lineRule="auto"/>
    </w:pPr>
    <w:rPr>
      <w:rFonts w:ascii="Calibri" w:eastAsia="Times New Roman" w:hAnsi="Calibri" w:cs="Times New Roman"/>
      <w:color w:val="auto"/>
      <w:szCs w:val="20"/>
      <w:lang w:eastAsia="en-AU"/>
    </w:rPr>
  </w:style>
  <w:style w:type="paragraph" w:customStyle="1" w:styleId="BoxDash">
    <w:name w:val="Box Dash"/>
    <w:basedOn w:val="Normal"/>
    <w:rsid w:val="00514A71"/>
    <w:pPr>
      <w:numPr>
        <w:ilvl w:val="1"/>
        <w:numId w:val="8"/>
      </w:numPr>
      <w:spacing w:before="0" w:after="120" w:line="240" w:lineRule="auto"/>
      <w:ind w:left="568"/>
    </w:pPr>
    <w:rPr>
      <w:rFonts w:ascii="Calibri" w:eastAsia="Times New Roman" w:hAnsi="Calibri" w:cs="Times New Roman"/>
      <w:color w:val="auto"/>
      <w:szCs w:val="20"/>
      <w:lang w:eastAsia="en-AU"/>
    </w:rPr>
  </w:style>
  <w:style w:type="paragraph" w:customStyle="1" w:styleId="BoxDoubleDot">
    <w:name w:val="Box Double Dot"/>
    <w:basedOn w:val="Normal"/>
    <w:rsid w:val="00514A71"/>
    <w:pPr>
      <w:numPr>
        <w:ilvl w:val="2"/>
        <w:numId w:val="8"/>
      </w:numPr>
      <w:spacing w:before="0" w:after="120" w:line="240" w:lineRule="auto"/>
      <w:ind w:left="851" w:hanging="284"/>
    </w:pPr>
    <w:rPr>
      <w:rFonts w:ascii="Calibri" w:eastAsia="Times New Roman" w:hAnsi="Calibri" w:cs="Times New Roman"/>
      <w:color w:val="auto"/>
      <w:szCs w:val="20"/>
      <w:lang w:eastAsia="en-AU"/>
    </w:rPr>
  </w:style>
  <w:style w:type="numbering" w:customStyle="1" w:styleId="BoxBulletedList">
    <w:name w:val="Box Bulleted List"/>
    <w:uiPriority w:val="99"/>
    <w:rsid w:val="00514A71"/>
    <w:pPr>
      <w:numPr>
        <w:numId w:val="8"/>
      </w:numPr>
    </w:pPr>
  </w:style>
  <w:style w:type="character" w:styleId="Emphasis">
    <w:name w:val="Emphasis"/>
    <w:uiPriority w:val="20"/>
    <w:qFormat/>
    <w:rsid w:val="004169A8"/>
    <w:rPr>
      <w:color w:val="053A68" w:themeColor="text2"/>
      <w:sz w:val="26"/>
    </w:rPr>
  </w:style>
  <w:style w:type="character" w:customStyle="1" w:styleId="normalchar">
    <w:name w:val="normal_char"/>
    <w:rsid w:val="00535629"/>
    <w:rPr>
      <w:color w:val="auto"/>
    </w:rPr>
  </w:style>
  <w:style w:type="paragraph" w:styleId="BodyText3">
    <w:name w:val="Body Text 3"/>
    <w:basedOn w:val="Normal"/>
    <w:link w:val="BodyText3Char"/>
    <w:uiPriority w:val="99"/>
    <w:semiHidden/>
    <w:unhideWhenUsed/>
    <w:rsid w:val="003F27A5"/>
    <w:pPr>
      <w:spacing w:before="0" w:after="120" w:line="240" w:lineRule="auto"/>
    </w:pPr>
    <w:rPr>
      <w:rFonts w:ascii="Times New Roman" w:hAnsi="Times New Roman" w:cs="Times New Roman"/>
      <w:color w:val="auto"/>
      <w:sz w:val="28"/>
      <w:szCs w:val="28"/>
    </w:rPr>
  </w:style>
  <w:style w:type="character" w:customStyle="1" w:styleId="BodyText3Char">
    <w:name w:val="Body Text 3 Char"/>
    <w:basedOn w:val="DefaultParagraphFont"/>
    <w:link w:val="BodyText3"/>
    <w:uiPriority w:val="99"/>
    <w:semiHidden/>
    <w:rsid w:val="003F27A5"/>
    <w:rPr>
      <w:rFonts w:ascii="Times New Roman" w:hAnsi="Times New Roman" w:cs="Times New Roman"/>
      <w:color w:val="auto"/>
      <w:sz w:val="28"/>
      <w:szCs w:val="28"/>
    </w:rPr>
  </w:style>
  <w:style w:type="paragraph" w:styleId="ListNumber">
    <w:name w:val="List Number"/>
    <w:basedOn w:val="Normal"/>
    <w:uiPriority w:val="99"/>
    <w:unhideWhenUsed/>
    <w:rsid w:val="00381868"/>
    <w:pPr>
      <w:numPr>
        <w:numId w:val="12"/>
      </w:numPr>
      <w:spacing w:before="0" w:after="160" w:line="259" w:lineRule="auto"/>
      <w:contextualSpacing/>
    </w:pPr>
    <w:rPr>
      <w:color w:val="auto"/>
      <w:sz w:val="22"/>
    </w:rPr>
  </w:style>
  <w:style w:type="character" w:customStyle="1" w:styleId="ui-provider">
    <w:name w:val="ui-provider"/>
    <w:basedOn w:val="DefaultParagraphFont"/>
    <w:rsid w:val="00381868"/>
  </w:style>
  <w:style w:type="paragraph" w:customStyle="1" w:styleId="Titleofdocument">
    <w:name w:val="Title of document"/>
    <w:qFormat/>
    <w:rsid w:val="008D4322"/>
    <w:pPr>
      <w:spacing w:before="3900"/>
    </w:pPr>
    <w:rPr>
      <w:rFonts w:asciiTheme="majorHAnsi" w:eastAsiaTheme="majorEastAsia" w:hAnsiTheme="majorHAnsi" w:cs="Times New Roman (Headings CS)"/>
      <w:color w:val="000000" w:themeColor="text1"/>
      <w:sz w:val="56"/>
      <w:szCs w:val="32"/>
    </w:rPr>
  </w:style>
  <w:style w:type="paragraph" w:styleId="Revision">
    <w:name w:val="Revision"/>
    <w:hidden/>
    <w:uiPriority w:val="99"/>
    <w:semiHidden/>
    <w:rsid w:val="00AE36DC"/>
    <w:pPr>
      <w:spacing w:before="0" w:after="0" w:line="240" w:lineRule="auto"/>
    </w:pPr>
    <w:rPr>
      <w:color w:val="000000" w:themeColor="text1"/>
      <w:sz w:val="20"/>
    </w:rPr>
  </w:style>
  <w:style w:type="paragraph" w:styleId="Header">
    <w:name w:val="header"/>
    <w:basedOn w:val="Normal"/>
    <w:link w:val="HeaderChar"/>
    <w:uiPriority w:val="99"/>
    <w:unhideWhenUsed/>
    <w:rsid w:val="007B73A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73A6"/>
    <w:rPr>
      <w:color w:val="000000" w:themeColor="text1"/>
      <w:sz w:val="20"/>
    </w:rPr>
  </w:style>
  <w:style w:type="table" w:styleId="TableGridLight">
    <w:name w:val="Grid Table Light"/>
    <w:basedOn w:val="TableNormal"/>
    <w:uiPriority w:val="40"/>
    <w:rsid w:val="00031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F600B"/>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table" w:styleId="GridTable1Light">
    <w:name w:val="Grid Table 1 Light"/>
    <w:basedOn w:val="TableNormal"/>
    <w:uiPriority w:val="46"/>
    <w:rsid w:val="00213A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B6C54"/>
    <w:rPr>
      <w:b/>
      <w:bCs/>
    </w:rPr>
  </w:style>
  <w:style w:type="paragraph" w:styleId="TableofFigures">
    <w:name w:val="table of figures"/>
    <w:basedOn w:val="Normal"/>
    <w:next w:val="Normal"/>
    <w:uiPriority w:val="99"/>
    <w:unhideWhenUsed/>
    <w:rsid w:val="00006D8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744">
      <w:bodyDiv w:val="1"/>
      <w:marLeft w:val="0"/>
      <w:marRight w:val="0"/>
      <w:marTop w:val="0"/>
      <w:marBottom w:val="0"/>
      <w:divBdr>
        <w:top w:val="none" w:sz="0" w:space="0" w:color="auto"/>
        <w:left w:val="none" w:sz="0" w:space="0" w:color="auto"/>
        <w:bottom w:val="none" w:sz="0" w:space="0" w:color="auto"/>
        <w:right w:val="none" w:sz="0" w:space="0" w:color="auto"/>
      </w:divBdr>
    </w:div>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221410789">
      <w:bodyDiv w:val="1"/>
      <w:marLeft w:val="0"/>
      <w:marRight w:val="0"/>
      <w:marTop w:val="0"/>
      <w:marBottom w:val="0"/>
      <w:divBdr>
        <w:top w:val="none" w:sz="0" w:space="0" w:color="auto"/>
        <w:left w:val="none" w:sz="0" w:space="0" w:color="auto"/>
        <w:bottom w:val="none" w:sz="0" w:space="0" w:color="auto"/>
        <w:right w:val="none" w:sz="0" w:space="0" w:color="auto"/>
      </w:divBdr>
    </w:div>
    <w:div w:id="247347782">
      <w:bodyDiv w:val="1"/>
      <w:marLeft w:val="0"/>
      <w:marRight w:val="0"/>
      <w:marTop w:val="0"/>
      <w:marBottom w:val="0"/>
      <w:divBdr>
        <w:top w:val="none" w:sz="0" w:space="0" w:color="auto"/>
        <w:left w:val="none" w:sz="0" w:space="0" w:color="auto"/>
        <w:bottom w:val="none" w:sz="0" w:space="0" w:color="auto"/>
        <w:right w:val="none" w:sz="0" w:space="0" w:color="auto"/>
      </w:divBdr>
      <w:divsChild>
        <w:div w:id="730151120">
          <w:marLeft w:val="0"/>
          <w:marRight w:val="0"/>
          <w:marTop w:val="0"/>
          <w:marBottom w:val="0"/>
          <w:divBdr>
            <w:top w:val="none" w:sz="0" w:space="0" w:color="auto"/>
            <w:left w:val="none" w:sz="0" w:space="0" w:color="auto"/>
            <w:bottom w:val="none" w:sz="0" w:space="0" w:color="auto"/>
            <w:right w:val="none" w:sz="0" w:space="0" w:color="auto"/>
          </w:divBdr>
          <w:divsChild>
            <w:div w:id="514654419">
              <w:marLeft w:val="0"/>
              <w:marRight w:val="0"/>
              <w:marTop w:val="0"/>
              <w:marBottom w:val="0"/>
              <w:divBdr>
                <w:top w:val="none" w:sz="0" w:space="0" w:color="auto"/>
                <w:left w:val="none" w:sz="0" w:space="0" w:color="auto"/>
                <w:bottom w:val="none" w:sz="0" w:space="0" w:color="auto"/>
                <w:right w:val="none" w:sz="0" w:space="0" w:color="auto"/>
              </w:divBdr>
              <w:divsChild>
                <w:div w:id="1967999986">
                  <w:marLeft w:val="0"/>
                  <w:marRight w:val="0"/>
                  <w:marTop w:val="0"/>
                  <w:marBottom w:val="0"/>
                  <w:divBdr>
                    <w:top w:val="none" w:sz="0" w:space="0" w:color="auto"/>
                    <w:left w:val="none" w:sz="0" w:space="0" w:color="auto"/>
                    <w:bottom w:val="none" w:sz="0" w:space="0" w:color="auto"/>
                    <w:right w:val="none" w:sz="0" w:space="0" w:color="auto"/>
                  </w:divBdr>
                  <w:divsChild>
                    <w:div w:id="716323130">
                      <w:marLeft w:val="0"/>
                      <w:marRight w:val="0"/>
                      <w:marTop w:val="0"/>
                      <w:marBottom w:val="0"/>
                      <w:divBdr>
                        <w:top w:val="none" w:sz="0" w:space="0" w:color="auto"/>
                        <w:left w:val="none" w:sz="0" w:space="0" w:color="auto"/>
                        <w:bottom w:val="none" w:sz="0" w:space="0" w:color="auto"/>
                        <w:right w:val="none" w:sz="0" w:space="0" w:color="auto"/>
                      </w:divBdr>
                      <w:divsChild>
                        <w:div w:id="18337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46049515">
      <w:bodyDiv w:val="1"/>
      <w:marLeft w:val="0"/>
      <w:marRight w:val="0"/>
      <w:marTop w:val="0"/>
      <w:marBottom w:val="0"/>
      <w:divBdr>
        <w:top w:val="none" w:sz="0" w:space="0" w:color="auto"/>
        <w:left w:val="none" w:sz="0" w:space="0" w:color="auto"/>
        <w:bottom w:val="none" w:sz="0" w:space="0" w:color="auto"/>
        <w:right w:val="none" w:sz="0" w:space="0" w:color="auto"/>
      </w:divBdr>
    </w:div>
    <w:div w:id="576984744">
      <w:bodyDiv w:val="1"/>
      <w:marLeft w:val="0"/>
      <w:marRight w:val="0"/>
      <w:marTop w:val="0"/>
      <w:marBottom w:val="0"/>
      <w:divBdr>
        <w:top w:val="none" w:sz="0" w:space="0" w:color="auto"/>
        <w:left w:val="none" w:sz="0" w:space="0" w:color="auto"/>
        <w:bottom w:val="none" w:sz="0" w:space="0" w:color="auto"/>
        <w:right w:val="none" w:sz="0" w:space="0" w:color="auto"/>
      </w:divBdr>
    </w:div>
    <w:div w:id="608463529">
      <w:bodyDiv w:val="1"/>
      <w:marLeft w:val="0"/>
      <w:marRight w:val="0"/>
      <w:marTop w:val="0"/>
      <w:marBottom w:val="0"/>
      <w:divBdr>
        <w:top w:val="none" w:sz="0" w:space="0" w:color="auto"/>
        <w:left w:val="none" w:sz="0" w:space="0" w:color="auto"/>
        <w:bottom w:val="none" w:sz="0" w:space="0" w:color="auto"/>
        <w:right w:val="none" w:sz="0" w:space="0" w:color="auto"/>
      </w:divBdr>
    </w:div>
    <w:div w:id="724569285">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792944333">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977564346">
      <w:bodyDiv w:val="1"/>
      <w:marLeft w:val="0"/>
      <w:marRight w:val="0"/>
      <w:marTop w:val="0"/>
      <w:marBottom w:val="0"/>
      <w:divBdr>
        <w:top w:val="none" w:sz="0" w:space="0" w:color="auto"/>
        <w:left w:val="none" w:sz="0" w:space="0" w:color="auto"/>
        <w:bottom w:val="none" w:sz="0" w:space="0" w:color="auto"/>
        <w:right w:val="none" w:sz="0" w:space="0" w:color="auto"/>
      </w:divBdr>
    </w:div>
    <w:div w:id="992106713">
      <w:bodyDiv w:val="1"/>
      <w:marLeft w:val="0"/>
      <w:marRight w:val="0"/>
      <w:marTop w:val="0"/>
      <w:marBottom w:val="0"/>
      <w:divBdr>
        <w:top w:val="none" w:sz="0" w:space="0" w:color="auto"/>
        <w:left w:val="none" w:sz="0" w:space="0" w:color="auto"/>
        <w:bottom w:val="none" w:sz="0" w:space="0" w:color="auto"/>
        <w:right w:val="none" w:sz="0" w:space="0" w:color="auto"/>
      </w:divBdr>
    </w:div>
    <w:div w:id="1120879695">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197160477">
      <w:bodyDiv w:val="1"/>
      <w:marLeft w:val="0"/>
      <w:marRight w:val="0"/>
      <w:marTop w:val="0"/>
      <w:marBottom w:val="0"/>
      <w:divBdr>
        <w:top w:val="none" w:sz="0" w:space="0" w:color="auto"/>
        <w:left w:val="none" w:sz="0" w:space="0" w:color="auto"/>
        <w:bottom w:val="none" w:sz="0" w:space="0" w:color="auto"/>
        <w:right w:val="none" w:sz="0" w:space="0" w:color="auto"/>
      </w:divBdr>
      <w:divsChild>
        <w:div w:id="278681925">
          <w:marLeft w:val="0"/>
          <w:marRight w:val="0"/>
          <w:marTop w:val="0"/>
          <w:marBottom w:val="0"/>
          <w:divBdr>
            <w:top w:val="none" w:sz="0" w:space="0" w:color="auto"/>
            <w:left w:val="none" w:sz="0" w:space="0" w:color="auto"/>
            <w:bottom w:val="none" w:sz="0" w:space="0" w:color="auto"/>
            <w:right w:val="none" w:sz="0" w:space="0" w:color="auto"/>
          </w:divBdr>
        </w:div>
      </w:divsChild>
    </w:div>
    <w:div w:id="1209344822">
      <w:bodyDiv w:val="1"/>
      <w:marLeft w:val="0"/>
      <w:marRight w:val="0"/>
      <w:marTop w:val="0"/>
      <w:marBottom w:val="0"/>
      <w:divBdr>
        <w:top w:val="none" w:sz="0" w:space="0" w:color="auto"/>
        <w:left w:val="none" w:sz="0" w:space="0" w:color="auto"/>
        <w:bottom w:val="none" w:sz="0" w:space="0" w:color="auto"/>
        <w:right w:val="none" w:sz="0" w:space="0" w:color="auto"/>
      </w:divBdr>
    </w:div>
    <w:div w:id="1279994932">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304579475">
      <w:bodyDiv w:val="1"/>
      <w:marLeft w:val="0"/>
      <w:marRight w:val="0"/>
      <w:marTop w:val="0"/>
      <w:marBottom w:val="0"/>
      <w:divBdr>
        <w:top w:val="none" w:sz="0" w:space="0" w:color="auto"/>
        <w:left w:val="none" w:sz="0" w:space="0" w:color="auto"/>
        <w:bottom w:val="none" w:sz="0" w:space="0" w:color="auto"/>
        <w:right w:val="none" w:sz="0" w:space="0" w:color="auto"/>
      </w:divBdr>
    </w:div>
    <w:div w:id="1387879379">
      <w:bodyDiv w:val="1"/>
      <w:marLeft w:val="0"/>
      <w:marRight w:val="0"/>
      <w:marTop w:val="0"/>
      <w:marBottom w:val="0"/>
      <w:divBdr>
        <w:top w:val="none" w:sz="0" w:space="0" w:color="auto"/>
        <w:left w:val="none" w:sz="0" w:space="0" w:color="auto"/>
        <w:bottom w:val="none" w:sz="0" w:space="0" w:color="auto"/>
        <w:right w:val="none" w:sz="0" w:space="0" w:color="auto"/>
      </w:divBdr>
    </w:div>
    <w:div w:id="1473907882">
      <w:bodyDiv w:val="1"/>
      <w:marLeft w:val="0"/>
      <w:marRight w:val="0"/>
      <w:marTop w:val="0"/>
      <w:marBottom w:val="0"/>
      <w:divBdr>
        <w:top w:val="none" w:sz="0" w:space="0" w:color="auto"/>
        <w:left w:val="none" w:sz="0" w:space="0" w:color="auto"/>
        <w:bottom w:val="none" w:sz="0" w:space="0" w:color="auto"/>
        <w:right w:val="none" w:sz="0" w:space="0" w:color="auto"/>
      </w:divBdr>
      <w:divsChild>
        <w:div w:id="1102843941">
          <w:marLeft w:val="0"/>
          <w:marRight w:val="0"/>
          <w:marTop w:val="0"/>
          <w:marBottom w:val="0"/>
          <w:divBdr>
            <w:top w:val="none" w:sz="0" w:space="0" w:color="auto"/>
            <w:left w:val="none" w:sz="0" w:space="0" w:color="auto"/>
            <w:bottom w:val="none" w:sz="0" w:space="0" w:color="auto"/>
            <w:right w:val="none" w:sz="0" w:space="0" w:color="auto"/>
          </w:divBdr>
        </w:div>
      </w:divsChild>
    </w:div>
    <w:div w:id="1485973952">
      <w:bodyDiv w:val="1"/>
      <w:marLeft w:val="0"/>
      <w:marRight w:val="0"/>
      <w:marTop w:val="0"/>
      <w:marBottom w:val="0"/>
      <w:divBdr>
        <w:top w:val="none" w:sz="0" w:space="0" w:color="auto"/>
        <w:left w:val="none" w:sz="0" w:space="0" w:color="auto"/>
        <w:bottom w:val="none" w:sz="0" w:space="0" w:color="auto"/>
        <w:right w:val="none" w:sz="0" w:space="0" w:color="auto"/>
      </w:divBdr>
    </w:div>
    <w:div w:id="1512529717">
      <w:bodyDiv w:val="1"/>
      <w:marLeft w:val="0"/>
      <w:marRight w:val="0"/>
      <w:marTop w:val="0"/>
      <w:marBottom w:val="0"/>
      <w:divBdr>
        <w:top w:val="none" w:sz="0" w:space="0" w:color="auto"/>
        <w:left w:val="none" w:sz="0" w:space="0" w:color="auto"/>
        <w:bottom w:val="none" w:sz="0" w:space="0" w:color="auto"/>
        <w:right w:val="none" w:sz="0" w:space="0" w:color="auto"/>
      </w:divBdr>
    </w:div>
    <w:div w:id="1513640722">
      <w:bodyDiv w:val="1"/>
      <w:marLeft w:val="0"/>
      <w:marRight w:val="0"/>
      <w:marTop w:val="0"/>
      <w:marBottom w:val="0"/>
      <w:divBdr>
        <w:top w:val="none" w:sz="0" w:space="0" w:color="auto"/>
        <w:left w:val="none" w:sz="0" w:space="0" w:color="auto"/>
        <w:bottom w:val="none" w:sz="0" w:space="0" w:color="auto"/>
        <w:right w:val="none" w:sz="0" w:space="0" w:color="auto"/>
      </w:divBdr>
    </w:div>
    <w:div w:id="1604916039">
      <w:bodyDiv w:val="1"/>
      <w:marLeft w:val="0"/>
      <w:marRight w:val="0"/>
      <w:marTop w:val="0"/>
      <w:marBottom w:val="0"/>
      <w:divBdr>
        <w:top w:val="none" w:sz="0" w:space="0" w:color="auto"/>
        <w:left w:val="none" w:sz="0" w:space="0" w:color="auto"/>
        <w:bottom w:val="none" w:sz="0" w:space="0" w:color="auto"/>
        <w:right w:val="none" w:sz="0" w:space="0" w:color="auto"/>
      </w:divBdr>
    </w:div>
    <w:div w:id="1610234352">
      <w:bodyDiv w:val="1"/>
      <w:marLeft w:val="0"/>
      <w:marRight w:val="0"/>
      <w:marTop w:val="0"/>
      <w:marBottom w:val="0"/>
      <w:divBdr>
        <w:top w:val="none" w:sz="0" w:space="0" w:color="auto"/>
        <w:left w:val="none" w:sz="0" w:space="0" w:color="auto"/>
        <w:bottom w:val="none" w:sz="0" w:space="0" w:color="auto"/>
        <w:right w:val="none" w:sz="0" w:space="0" w:color="auto"/>
      </w:divBdr>
      <w:divsChild>
        <w:div w:id="2022051086">
          <w:marLeft w:val="0"/>
          <w:marRight w:val="0"/>
          <w:marTop w:val="0"/>
          <w:marBottom w:val="0"/>
          <w:divBdr>
            <w:top w:val="none" w:sz="0" w:space="0" w:color="auto"/>
            <w:left w:val="none" w:sz="0" w:space="0" w:color="auto"/>
            <w:bottom w:val="none" w:sz="0" w:space="0" w:color="auto"/>
            <w:right w:val="none" w:sz="0" w:space="0" w:color="auto"/>
          </w:divBdr>
        </w:div>
      </w:divsChild>
    </w:div>
    <w:div w:id="1639803113">
      <w:bodyDiv w:val="1"/>
      <w:marLeft w:val="0"/>
      <w:marRight w:val="0"/>
      <w:marTop w:val="0"/>
      <w:marBottom w:val="0"/>
      <w:divBdr>
        <w:top w:val="none" w:sz="0" w:space="0" w:color="auto"/>
        <w:left w:val="none" w:sz="0" w:space="0" w:color="auto"/>
        <w:bottom w:val="none" w:sz="0" w:space="0" w:color="auto"/>
        <w:right w:val="none" w:sz="0" w:space="0" w:color="auto"/>
      </w:divBdr>
    </w:div>
    <w:div w:id="1685589885">
      <w:bodyDiv w:val="1"/>
      <w:marLeft w:val="0"/>
      <w:marRight w:val="0"/>
      <w:marTop w:val="0"/>
      <w:marBottom w:val="0"/>
      <w:divBdr>
        <w:top w:val="none" w:sz="0" w:space="0" w:color="auto"/>
        <w:left w:val="none" w:sz="0" w:space="0" w:color="auto"/>
        <w:bottom w:val="none" w:sz="0" w:space="0" w:color="auto"/>
        <w:right w:val="none" w:sz="0" w:space="0" w:color="auto"/>
      </w:divBdr>
    </w:div>
    <w:div w:id="1718317799">
      <w:bodyDiv w:val="1"/>
      <w:marLeft w:val="0"/>
      <w:marRight w:val="0"/>
      <w:marTop w:val="0"/>
      <w:marBottom w:val="0"/>
      <w:divBdr>
        <w:top w:val="none" w:sz="0" w:space="0" w:color="auto"/>
        <w:left w:val="none" w:sz="0" w:space="0" w:color="auto"/>
        <w:bottom w:val="none" w:sz="0" w:space="0" w:color="auto"/>
        <w:right w:val="none" w:sz="0" w:space="0" w:color="auto"/>
      </w:divBdr>
    </w:div>
    <w:div w:id="1893466537">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 w:id="20095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sc.gov.au/initiatives-and-programs/workplace-relations/maternity-leave-act-review" TargetMode="External"/><Relationship Id="rId21" Type="http://schemas.openxmlformats.org/officeDocument/2006/relationships/hyperlink" Target="https://humanrights.gov.au/our-work/sex-discrimination/positive-duty-sex-discrimination-act" TargetMode="External"/><Relationship Id="rId34" Type="http://schemas.openxmlformats.org/officeDocument/2006/relationships/chart" Target="charts/chart6.xml"/><Relationship Id="rId42" Type="http://schemas.openxmlformats.org/officeDocument/2006/relationships/hyperlink" Target="https://learnhub.com/" TargetMode="External"/><Relationship Id="rId47" Type="http://schemas.openxmlformats.org/officeDocument/2006/relationships/hyperlink" Target="mailto:diversity@apsc.gov.au" TargetMode="External"/><Relationship Id="rId50" Type="http://schemas.openxmlformats.org/officeDocument/2006/relationships/hyperlink" Target="https://www.apsc.gov.au/sites/default/files/2024-07/APSC%20Family%20and%20Domestic%20Violence%20Policy%20Framework%20-%20July%202024.docx" TargetMode="External"/><Relationship Id="rId55" Type="http://schemas.openxmlformats.org/officeDocument/2006/relationships/hyperlink" Target="https://www.apsjobs.gov.au/s/graduate-portal/stream/stem-stream-MC3TNZXVTBFNBWREZUTZI2MRN53I" TargetMode="External"/><Relationship Id="rId63" Type="http://schemas.openxmlformats.org/officeDocument/2006/relationships/chart" Target="charts/chart18.xml"/><Relationship Id="rId68" Type="http://schemas.openxmlformats.org/officeDocument/2006/relationships/chart" Target="charts/chart20.xml"/><Relationship Id="rId76" Type="http://schemas.openxmlformats.org/officeDocument/2006/relationships/hyperlink" Target="https://www.wgea.gov.au/about/our-legislation/publishing-employer-gender-pay-gaps" TargetMode="External"/><Relationship Id="rId84" Type="http://schemas.openxmlformats.org/officeDocument/2006/relationships/hyperlink" Target="https://www.apsc.gov.au/publication/australian-public-service-gender-equality-strategy-2021-26" TargetMode="External"/><Relationship Id="rId89" Type="http://schemas.openxmlformats.org/officeDocument/2006/relationships/hyperlink" Target="https://www.apsc.gov.au/publication/australian-public-service-gender-equality-strategy-2021-26" TargetMode="External"/><Relationship Id="rId7" Type="http://schemas.openxmlformats.org/officeDocument/2006/relationships/settings" Target="settings.xml"/><Relationship Id="rId71" Type="http://schemas.openxmlformats.org/officeDocument/2006/relationships/image" Target="media/image3.png"/><Relationship Id="rId92" Type="http://schemas.openxmlformats.org/officeDocument/2006/relationships/hyperlink" Target="https://www.apsc.gov.au/publication/australian-public-service-gender-equality-strategy-2021-26" TargetMode="External"/><Relationship Id="rId2" Type="http://schemas.openxmlformats.org/officeDocument/2006/relationships/customXml" Target="../customXml/item2.xml"/><Relationship Id="rId16" Type="http://schemas.openxmlformats.org/officeDocument/2006/relationships/hyperlink" Target="https://genderequality.gov.au/status-women-report-cards/2024-report-card" TargetMode="External"/><Relationship Id="rId29" Type="http://schemas.openxmlformats.org/officeDocument/2006/relationships/chart" Target="charts/chart2.xml"/><Relationship Id="rId11" Type="http://schemas.openxmlformats.org/officeDocument/2006/relationships/image" Target="media/image1.png"/><Relationship Id="rId24" Type="http://schemas.openxmlformats.org/officeDocument/2006/relationships/hyperlink" Target="https://www.apsc.gov.au/sites/default/files/2024-06/APS%20Model%20Policy%20for%20the%20Prevention%20of%20Workplace%20Sexual%20Harassment%20and%20related%20unlawful%20conduct.pdf"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hyperlink" Target="https://www.comcare.gov.au/about/training" TargetMode="External"/><Relationship Id="rId45" Type="http://schemas.openxmlformats.org/officeDocument/2006/relationships/hyperlink" Target="https://www.apsc.gov.au/working-aps/diversity-and-inclusion/resources/preventing-sexual-harassment" TargetMode="External"/><Relationship Id="rId53" Type="http://schemas.openxmlformats.org/officeDocument/2006/relationships/chart" Target="charts/chart11.xml"/><Relationship Id="rId58" Type="http://schemas.openxmlformats.org/officeDocument/2006/relationships/chart" Target="charts/chart14.xml"/><Relationship Id="rId66" Type="http://schemas.openxmlformats.org/officeDocument/2006/relationships/hyperlink" Target="mailto:https://www.apsc.gov.au/sites/default/files/2023-11/APS%20Bargaining%20Statement%20of%20Common%20Conditions.pdf%23page=79.99" TargetMode="External"/><Relationship Id="rId74" Type="http://schemas.openxmlformats.org/officeDocument/2006/relationships/hyperlink" Target="https://www.wgea.gov.au/sites/default/files/documents/2022_Commonwealth_Public_Sector_Gender_Equality_Snapshot_FINAL.pdf" TargetMode="External"/><Relationship Id="rId79" Type="http://schemas.openxmlformats.org/officeDocument/2006/relationships/chart" Target="charts/chart22.xml"/><Relationship Id="rId87" Type="http://schemas.openxmlformats.org/officeDocument/2006/relationships/hyperlink" Target="https://www.apsc.gov.au/publication/australian-public-service-gender-equality-strategy-2021-26" TargetMode="External"/><Relationship Id="rId5" Type="http://schemas.openxmlformats.org/officeDocument/2006/relationships/numbering" Target="numbering.xml"/><Relationship Id="rId61" Type="http://schemas.openxmlformats.org/officeDocument/2006/relationships/chart" Target="charts/chart16.xml"/><Relationship Id="rId82" Type="http://schemas.openxmlformats.org/officeDocument/2006/relationships/chart" Target="charts/chart23.xml"/><Relationship Id="rId90" Type="http://schemas.openxmlformats.org/officeDocument/2006/relationships/hyperlink" Target="https://www.apsc.gov.au/publication/australian-public-service-gender-equality-strategy-2021-26" TargetMode="External"/><Relationship Id="rId95" Type="http://schemas.openxmlformats.org/officeDocument/2006/relationships/fontTable" Target="fontTable.xml"/><Relationship Id="rId19" Type="http://schemas.openxmlformats.org/officeDocument/2006/relationships/hyperlink" Target="https://www.apsacademy.gov.au/courses/crafting-inclusive-policy-gender-equality" TargetMode="External"/><Relationship Id="rId14" Type="http://schemas.openxmlformats.org/officeDocument/2006/relationships/hyperlink" Target="mailto:externalcomms@apsc.gov.au" TargetMode="External"/><Relationship Id="rId22" Type="http://schemas.openxmlformats.org/officeDocument/2006/relationships/hyperlink" Target="https://www.comcare.gov.au/safe-healthy-work/prevent-harm/psychosocial-hazards/harassment" TargetMode="External"/><Relationship Id="rId27" Type="http://schemas.openxmlformats.org/officeDocument/2006/relationships/hyperlink" Target="https://www.apsc.gov.au/sites/default/files/2021-12/APSC%20-%20Gender%20Equality%20Strategy.pdf" TargetMode="External"/><Relationship Id="rId30" Type="http://schemas.openxmlformats.org/officeDocument/2006/relationships/chart" Target="charts/chart3.xml"/><Relationship Id="rId35" Type="http://schemas.openxmlformats.org/officeDocument/2006/relationships/chart" Target="charts/chart7.xml"/><Relationship Id="rId43" Type="http://schemas.openxmlformats.org/officeDocument/2006/relationships/hyperlink" Target="https://pmc01.sharepoint.com/sites/apsc-eas/pscorgperformance/Evaluation%20-%20GES%202023/provides%20a%20list%20of%20APS%20agencies%20that%20deliver%20essential%20information%20and%20training%20you%20need%20to%20know%20as%20an%20APS%20employee." TargetMode="External"/><Relationship Id="rId48" Type="http://schemas.openxmlformats.org/officeDocument/2006/relationships/hyperlink" Target="https://www.comcare.gov.au/safe-healthy-work/prevent-harm/psychosocial-hazards/harassment" TargetMode="External"/><Relationship Id="rId56" Type="http://schemas.openxmlformats.org/officeDocument/2006/relationships/hyperlink" Target="https://www.chiefscientist.gov.au/news-and-media/new-stem-stream-aps-graduate-program" TargetMode="External"/><Relationship Id="rId64" Type="http://schemas.openxmlformats.org/officeDocument/2006/relationships/chart" Target="charts/chart19.xml"/><Relationship Id="rId69" Type="http://schemas.openxmlformats.org/officeDocument/2006/relationships/hyperlink" Target="https://www.apsc.gov.au/sites/default/files/2023-04/Drivers%20of%20the%202021%20APS%20Gender%20Pay%20Gap.pdf" TargetMode="External"/><Relationship Id="rId77" Type="http://schemas.openxmlformats.org/officeDocument/2006/relationships/hyperlink" Target="https://www.wgea.gov.au/take-action/gender-pay-gap/employer-gender-pay-gap-analysis-guide" TargetMode="External"/><Relationship Id="R83387d48613e4d80"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apsc.gov.au/initiatives-and-programs/workplace-relations/public-sector-workplace-relations-policy-2022/policy-qas/family-and-domestic-violence-support" TargetMode="External"/><Relationship Id="rId72" Type="http://schemas.openxmlformats.org/officeDocument/2006/relationships/hyperlink" Target="https://www.apsc.gov.au/sites/default/files/2023-04/Drivers%20of%20the%202021%20APS%20Gender%20Pay%20Gap.pdf" TargetMode="External"/><Relationship Id="rId80" Type="http://schemas.openxmlformats.org/officeDocument/2006/relationships/hyperlink" Target="https://www.apsc.gov.au/sites/default/files/2023-04/Drivers%20of%20the%202021%20APS%20Gender%20Pay%20Gap.pdf" TargetMode="External"/><Relationship Id="rId85" Type="http://schemas.openxmlformats.org/officeDocument/2006/relationships/hyperlink" Target="https://www.apsc.gov.au/publication/australian-public-service-gender-equality-strategy-2021-26" TargetMode="External"/><Relationship Id="rId93" Type="http://schemas.openxmlformats.org/officeDocument/2006/relationships/hyperlink" Target="mailto:evaluation@apsc.gov.au" TargetMode="External"/><Relationship Id="R6723fbb18fa94e2a"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pmc.gov.au/resources/including-gender-aps-guide-gender-analysis-and-gender-impact-assessment" TargetMode="External"/><Relationship Id="rId25" Type="http://schemas.openxmlformats.org/officeDocument/2006/relationships/hyperlink" Target="https://www.aph.gov.au/Parliamentary_Business/Committees/Senate/Community_Affairs/Menopause/Report" TargetMode="External"/><Relationship Id="rId33" Type="http://schemas.openxmlformats.org/officeDocument/2006/relationships/chart" Target="charts/chart5.xml"/><Relationship Id="rId38" Type="http://schemas.openxmlformats.org/officeDocument/2006/relationships/hyperlink" Target="https://www.respectatwork.gov.au/education-and-training" TargetMode="External"/><Relationship Id="rId46" Type="http://schemas.openxmlformats.org/officeDocument/2006/relationships/hyperlink" Target="https://www.apsc.gov.au/working-aps/diversity-and-inclusion/resources/preventing-sexual-harassment" TargetMode="External"/><Relationship Id="rId59" Type="http://schemas.openxmlformats.org/officeDocument/2006/relationships/hyperlink" Target="https://www.apsc.gov.au/initiatives-and-programs/workplace-relations/maternity-leave-act-review-report" TargetMode="External"/><Relationship Id="rId67" Type="http://schemas.openxmlformats.org/officeDocument/2006/relationships/hyperlink" Target="https://www.wgea.gov.au/sites/default/files/documents/2022_Commonwealth_Public_Sector_Gender_Equality_Snapshot_FINAL.pdf" TargetMode="External"/><Relationship Id="rId20" Type="http://schemas.openxmlformats.org/officeDocument/2006/relationships/hyperlink" Target="https://www.pmc.gov.au/resources/including-gender-aps-guide-gender-analysis-and-gender-impact-assessment" TargetMode="External"/><Relationship Id="rId41" Type="http://schemas.openxmlformats.org/officeDocument/2006/relationships/hyperlink" Target="https://www.fwc.gov.au/about-us/online-learning-portal" TargetMode="External"/><Relationship Id="rId54" Type="http://schemas.openxmlformats.org/officeDocument/2006/relationships/chart" Target="charts/chart12.xml"/><Relationship Id="rId62" Type="http://schemas.openxmlformats.org/officeDocument/2006/relationships/chart" Target="charts/chart17.xml"/><Relationship Id="rId70" Type="http://schemas.openxmlformats.org/officeDocument/2006/relationships/hyperlink" Target="https://www.apsc.gov.au/sites/default/files/2023-11/RN16-23%20Drivers%20of%20the%20decreasing%20APS%20Gender%20Pay%20Gap%20%28002%29.pdf" TargetMode="External"/><Relationship Id="rId75" Type="http://schemas.openxmlformats.org/officeDocument/2006/relationships/hyperlink" Target="https://www.wgea.gov.au/sites/default/files/documents/2022_Commonwealth_Public_Sector_Gender_Equality_Snapshot_FINAL.pdf" TargetMode="External"/><Relationship Id="rId83" Type="http://schemas.openxmlformats.org/officeDocument/2006/relationships/hyperlink" Target="https://www.pmc.gov.au/resources/including-gender-aps-guide-gender-analysis-and-gender-impact-assessment" TargetMode="External"/><Relationship Id="rId88" Type="http://schemas.openxmlformats.org/officeDocument/2006/relationships/hyperlink" Target="https://www.apsc.gov.au/publication/australian-public-service-gender-equality-strategy-2021-26" TargetMode="External"/><Relationship Id="rId91" Type="http://schemas.openxmlformats.org/officeDocument/2006/relationships/hyperlink" Target="https://www.apsc.gov.au/publication/australian-public-service-gender-equality-strategy-2021-26"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nderequality.gov.au/" TargetMode="External"/><Relationship Id="rId23" Type="http://schemas.openxmlformats.org/officeDocument/2006/relationships/hyperlink" Target="https://www.safeworkaustralia.gov.au/safety-topic/hazards/sexual-and-gender-based-harassment/whs-duties" TargetMode="External"/><Relationship Id="rId28" Type="http://schemas.openxmlformats.org/officeDocument/2006/relationships/chart" Target="charts/chart1.xml"/><Relationship Id="rId36" Type="http://schemas.openxmlformats.org/officeDocument/2006/relationships/chart" Target="charts/chart8.xml"/><Relationship Id="rId49" Type="http://schemas.openxmlformats.org/officeDocument/2006/relationships/hyperlink" Target="https://www.comcare.gov.au/about/forms-pubs/docs/pubs/referral-pathways-for-sexual-harassment.pdf" TargetMode="External"/><Relationship Id="rId57" Type="http://schemas.openxmlformats.org/officeDocument/2006/relationships/chart" Target="charts/chart13.xml"/><Relationship Id="rId10" Type="http://schemas.openxmlformats.org/officeDocument/2006/relationships/endnotes" Target="endnotes.xml"/><Relationship Id="rId31" Type="http://schemas.openxmlformats.org/officeDocument/2006/relationships/hyperlink" Target="https://www.apsc.gov.au/working-aps/diversity-and-inclusion/cross-agency-diversity-networks" TargetMode="External"/><Relationship Id="rId44" Type="http://schemas.openxmlformats.org/officeDocument/2006/relationships/hyperlink" Target="https://www.respectatwork.gov.au/resource-hub/respectwork-sexual-harassment-national-inquiry-report" TargetMode="External"/><Relationship Id="rId52" Type="http://schemas.openxmlformats.org/officeDocument/2006/relationships/chart" Target="charts/chart10.xml"/><Relationship Id="rId60" Type="http://schemas.openxmlformats.org/officeDocument/2006/relationships/chart" Target="charts/chart15.xml"/><Relationship Id="rId65" Type="http://schemas.openxmlformats.org/officeDocument/2006/relationships/hyperlink" Target="https://www.apsc.gov.au/news-and-events/latest-news/principles-flexible-work-aps" TargetMode="External"/><Relationship Id="rId73" Type="http://schemas.openxmlformats.org/officeDocument/2006/relationships/hyperlink" Target="https://www.apsc.gov.au/sites/default/files/2023-11/RN16-23%20Drivers%20of%20the%20decreasing%20APS%20Gender%20Pay%20Gap%20%28002%29.pdf" TargetMode="External"/><Relationship Id="rId78" Type="http://schemas.openxmlformats.org/officeDocument/2006/relationships/chart" Target="charts/chart21.xml"/><Relationship Id="rId81" Type="http://schemas.openxmlformats.org/officeDocument/2006/relationships/hyperlink" Target="https://www.apsc.gov.au/sites/default/files/2023-11/RN16-23%20Drivers%20of%20the%20decreasing%20APS%20Gender%20Pay%20Gap%20%28002%29.pdf" TargetMode="External"/><Relationship Id="rId86" Type="http://schemas.openxmlformats.org/officeDocument/2006/relationships/hyperlink" Target="https://www.apsc.gov.au/publication/australian-public-service-gender-equality-strategy-2021-26"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 TargetMode="External"/><Relationship Id="rId18" Type="http://schemas.openxmlformats.org/officeDocument/2006/relationships/hyperlink" Target="https://www.apsacademy.gov.au/news/are-we-there-yet-building-gender-equal-nation" TargetMode="External"/><Relationship Id="rId39" Type="http://schemas.openxmlformats.org/officeDocument/2006/relationships/hyperlink" Target="https://www.apsacademy.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gea.gov.au/publications/public-sector-snapshot-2022" TargetMode="External"/><Relationship Id="rId13" Type="http://schemas.openxmlformats.org/officeDocument/2006/relationships/hyperlink" Target="https://www.wgea.gov.au/data-statistics/ABS-gender-pay-gap-data" TargetMode="External"/><Relationship Id="rId18" Type="http://schemas.openxmlformats.org/officeDocument/2006/relationships/hyperlink" Target="https://www.wgea.gov.au/publications/public-sector-snapshot-2022" TargetMode="External"/><Relationship Id="rId26" Type="http://schemas.openxmlformats.org/officeDocument/2006/relationships/hyperlink" Target="https://www.wgea.gov.au/what-we-do/compliance-reporting/wgea-procurement-principles" TargetMode="External"/><Relationship Id="rId3" Type="http://schemas.openxmlformats.org/officeDocument/2006/relationships/hyperlink" Target="https://www.apsc.gov.au/initiatives-and-programs/workforce-information/research-analysis-and-publications/capability-review-australian-public-service-commission/review-response" TargetMode="External"/><Relationship Id="rId21" Type="http://schemas.openxmlformats.org/officeDocument/2006/relationships/hyperlink" Target="https://www.apsc.gov.au/remuneration-reports/australian-public-service-remuneration-report-2021" TargetMode="External"/><Relationship Id="rId7" Type="http://schemas.openxmlformats.org/officeDocument/2006/relationships/hyperlink" Target="https://www.apsc.gov.au/publication/australian-public-service-gender-equality-strategy-2021-26" TargetMode="External"/><Relationship Id="rId12" Type="http://schemas.openxmlformats.org/officeDocument/2006/relationships/hyperlink" Target="https://www.wgea.gov.au/publications/public-sector-snapshot-2022" TargetMode="External"/><Relationship Id="rId17" Type="http://schemas.openxmlformats.org/officeDocument/2006/relationships/hyperlink" Target="https://www.wgea.gov.au/publications/public-sector-snapshot-2022" TargetMode="External"/><Relationship Id="rId25" Type="http://schemas.openxmlformats.org/officeDocument/2006/relationships/hyperlink" Target="https://taxpolicy.crawford.anu.edu.au/publication/ttpi-working-papers/21596/modelling-australian-public-service-careers" TargetMode="External"/><Relationship Id="rId2" Type="http://schemas.openxmlformats.org/officeDocument/2006/relationships/hyperlink" Target="https://www.abs.gov.au/statistics/standards/standard-sex-gender-variations-sex-characteristics-and-sexual-orientation-variables/latest-release" TargetMode="External"/><Relationship Id="rId16" Type="http://schemas.openxmlformats.org/officeDocument/2006/relationships/hyperlink" Target="https://www.wgea.gov.au/publications/public-sector-snapshot-2022" TargetMode="External"/><Relationship Id="rId20" Type="http://schemas.openxmlformats.org/officeDocument/2006/relationships/hyperlink" Target="https://taxpolicy.crawford.anu.edu.au/publication/ttpi-working-papers/21596/modelling-australian-public-service-careers" TargetMode="External"/><Relationship Id="rId1" Type="http://schemas.openxmlformats.org/officeDocument/2006/relationships/hyperlink" Target="https://www.abs.gov.au/statistics/standards/standard-sex-gender-variations-sex-characteristics-and-sexual-orientation-variables/latest-release" TargetMode="External"/><Relationship Id="rId6" Type="http://schemas.openxmlformats.org/officeDocument/2006/relationships/hyperlink" Target="https://www.apsc.gov.au/publication/australian-public-service-gender-equality-strategy-2021-26" TargetMode="External"/><Relationship Id="rId11" Type="http://schemas.openxmlformats.org/officeDocument/2006/relationships/hyperlink" Target="https://www.wgea.gov.au/publications/public-sector-snapshot-2022" TargetMode="External"/><Relationship Id="rId24" Type="http://schemas.openxmlformats.org/officeDocument/2006/relationships/hyperlink" Target="https://www.apsc.gov.au/initiatives-and-programs/workforce-information/research-analysis-and-publications/state-service/state-service-report-2023" TargetMode="External"/><Relationship Id="rId5" Type="http://schemas.openxmlformats.org/officeDocument/2006/relationships/hyperlink" Target="https://www.wgea.gov.au/publications/public-sector-snapshot-2022" TargetMode="External"/><Relationship Id="rId15" Type="http://schemas.openxmlformats.org/officeDocument/2006/relationships/hyperlink" Target="https://www.wgea.gov.au/publications/public-sector-snapshot-2022" TargetMode="External"/><Relationship Id="rId23" Type="http://schemas.openxmlformats.org/officeDocument/2006/relationships/hyperlink" Target="https://www.apsc.gov.au/working-aps/state-of-service/2022/report/culture/state-service-report-2021-22-chapter-2-diverse-and-inclusive-workplaces/23-gender-equality" TargetMode="External"/><Relationship Id="rId10" Type="http://schemas.openxmlformats.org/officeDocument/2006/relationships/hyperlink" Target="https://www.dca.org.au/research/inclusion-at-work-index-2023-2024" TargetMode="External"/><Relationship Id="rId19" Type="http://schemas.openxmlformats.org/officeDocument/2006/relationships/hyperlink" Target="https://www.apsc.gov.au/working-aps/state-of-service/2022/report/culture/state-service-report-2021-22-chapter-2-diverse-and-inclusive-workplaces/23-gender-equality" TargetMode="External"/><Relationship Id="rId4" Type="http://schemas.openxmlformats.org/officeDocument/2006/relationships/hyperlink" Target="https://www.safeworkaustralia.gov.au/resources-and-publications/statistical-reports/psychosocial-health-and-safety-and-bullying-australian-workplaces-6th-edition" TargetMode="External"/><Relationship Id="rId9" Type="http://schemas.openxmlformats.org/officeDocument/2006/relationships/hyperlink" Target="https://www.wgea.gov.au/publications/public-sector-snapshot-2022" TargetMode="External"/><Relationship Id="rId14" Type="http://schemas.openxmlformats.org/officeDocument/2006/relationships/hyperlink" Target="https://www.wgea.gov.au/publications/public-sector-snapshot-2022" TargetMode="External"/><Relationship Id="rId22" Type="http://schemas.openxmlformats.org/officeDocument/2006/relationships/hyperlink" Target="https://www.apsc.gov.au/initiatives-and-programs/workforce-information/research-analysis-and-publications/state-service/state-service-report-2020-21/chapter-3-your-ap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1" Type="http://schemas.openxmlformats.org/officeDocument/2006/relationships/oleObject" Target="https://apsc-share.internal.pmc.gov.au/teams/eas/pscorgperformance/Evaluation%20-%20GES%202023/Data%20analysis/GES%20Survey%20results/GES%20Survey%20results%20(qualitative%20tex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apsc-share.internal.pmc.gov.au/teams/eas/pscorgperformance/Evaluation%20-%20GES%202023/Data%20analysis/GES%20Survey%20results/GES%20Survey%20results%20(qualitative%20text).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litative%20text).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litative%20text).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ntitative).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ntitative).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1" Type="http://schemas.openxmlformats.org/officeDocument/2006/relationships/oleObject" Target="https://apsc-share.internal.pmc.gov.au/teams/eas/pscorgperformance/Evaluation%20-%20GES%202023/Data%20analysis/GES%20Evaluation%20-%20data%20analysis%20(excl.%20GES%20survey%20results).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litative%20text).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Evaluation%20-%20data%20analysis%20(excl.%20GES%20survey%20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ntitativ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apsc-share.internal.pmc.gov.au/teams/eas/pscorgperformance/Evaluation%20-%20GES%202023/Data%20analysis/GES%20Survey%20results/GES%20Survey%20results%20(qualitative%20tex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897154846607575"/>
          <c:y val="2.8158042868611458E-2"/>
          <c:w val="0.4420186860842914"/>
          <c:h val="0.932076076143586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'Q36. Top 3 Positive Changes'!$A$94:$A$102</c:f>
              <c:strCache>
                <c:ptCount val="9"/>
                <c:pt idx="0">
                  <c:v> Increased leadership action, capability and awareness</c:v>
                </c:pt>
                <c:pt idx="1">
                  <c:v>Greater flexibility and/or leave provisions</c:v>
                </c:pt>
                <c:pt idx="2">
                  <c:v> Improved culture and transparency</c:v>
                </c:pt>
                <c:pt idx="3">
                  <c:v> Increased representation of women across classifications and occupations</c:v>
                </c:pt>
                <c:pt idx="4">
                  <c:v> Development of strategies, action plans, policies, frameworks, etc</c:v>
                </c:pt>
                <c:pt idx="5">
                  <c:v>Commitment to reducing the gender pay gap</c:v>
                </c:pt>
                <c:pt idx="6">
                  <c:v>Strengthening data collection and reporting capabilities</c:v>
                </c:pt>
                <c:pt idx="7">
                  <c:v>Revision of recruitment processes</c:v>
                </c:pt>
                <c:pt idx="8">
                  <c:v>Implementation of training</c:v>
                </c:pt>
              </c:strCache>
            </c:strRef>
          </c:cat>
          <c:val>
            <c:numRef>
              <c:f>'Q36. Top 3 Positive Changes'!$B$94:$B$102</c:f>
              <c:numCache>
                <c:formatCode>0%</c:formatCode>
                <c:ptCount val="9"/>
                <c:pt idx="0">
                  <c:v>0.27</c:v>
                </c:pt>
                <c:pt idx="1">
                  <c:v>0.24</c:v>
                </c:pt>
                <c:pt idx="2">
                  <c:v>0.23</c:v>
                </c:pt>
                <c:pt idx="3">
                  <c:v>0.2</c:v>
                </c:pt>
                <c:pt idx="4">
                  <c:v>0.19</c:v>
                </c:pt>
                <c:pt idx="5">
                  <c:v>0.17</c:v>
                </c:pt>
                <c:pt idx="6">
                  <c:v>0.16</c:v>
                </c:pt>
                <c:pt idx="7">
                  <c:v>0.14000000000000001</c:v>
                </c:pt>
                <c:pt idx="8">
                  <c:v>0.14000000000000001</c:v>
                </c:pt>
              </c:numCache>
            </c:numRef>
          </c:val>
          <c:extLst>
            <c:ext xmlns:c16="http://schemas.microsoft.com/office/drawing/2014/chart" uri="{C3380CC4-5D6E-409C-BE32-E72D297353CC}">
              <c16:uniqueId val="{00000000-90FA-4387-B31F-CF6A8CA3A8EA}"/>
            </c:ext>
          </c:extLst>
        </c:ser>
        <c:dLbls>
          <c:showLegendKey val="0"/>
          <c:showVal val="0"/>
          <c:showCatName val="0"/>
          <c:showSerName val="0"/>
          <c:showPercent val="0"/>
          <c:showBubbleSize val="0"/>
        </c:dLbls>
        <c:gapWidth val="182"/>
        <c:axId val="661344680"/>
        <c:axId val="661349272"/>
      </c:barChart>
      <c:catAx>
        <c:axId val="661344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661349272"/>
        <c:crosses val="autoZero"/>
        <c:auto val="1"/>
        <c:lblAlgn val="ctr"/>
        <c:lblOffset val="100"/>
        <c:noMultiLvlLbl val="0"/>
      </c:catAx>
      <c:valAx>
        <c:axId val="661349272"/>
        <c:scaling>
          <c:orientation val="minMax"/>
        </c:scaling>
        <c:delete val="1"/>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a:t>
                </a:r>
                <a:r>
                  <a:rPr lang="en-AU" b="1" baseline="0"/>
                  <a:t> of agencies</a:t>
                </a:r>
                <a:endParaRPr lang="en-AU" b="1"/>
              </a:p>
            </c:rich>
          </c:tx>
          <c:layout>
            <c:manualLayout>
              <c:xMode val="edge"/>
              <c:yMode val="edge"/>
              <c:x val="0.5598888782783078"/>
              <c:y val="0.954402728566852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61344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634201182404568"/>
          <c:y val="2.4106947183870259E-2"/>
          <c:w val="0.58365798817595427"/>
          <c:h val="0.90165435434969055"/>
        </c:manualLayout>
      </c:layout>
      <c:barChart>
        <c:barDir val="bar"/>
        <c:grouping val="clustered"/>
        <c:varyColors val="0"/>
        <c:ser>
          <c:idx val="1"/>
          <c:order val="0"/>
          <c:tx>
            <c:strRef>
              <c:f>'A3. Tornado-WomenMen by family'!$C$27</c:f>
              <c:strCache>
                <c:ptCount val="1"/>
                <c:pt idx="0">
                  <c:v>Men</c:v>
                </c:pt>
              </c:strCache>
            </c:strRef>
          </c:tx>
          <c:spPr>
            <a:solidFill>
              <a:schemeClr val="accent1"/>
            </a:solidFill>
            <a:ln>
              <a:solidFill>
                <a:schemeClr val="accent1"/>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 Tornado-WomenMen by family'!$A$28:$A$45</c:f>
              <c:strCache>
                <c:ptCount val="18"/>
                <c:pt idx="0">
                  <c:v>Engineering and Technical</c:v>
                </c:pt>
                <c:pt idx="1">
                  <c:v>Trades and Labour</c:v>
                </c:pt>
                <c:pt idx="2">
                  <c:v>ICT and Digital Solutions</c:v>
                </c:pt>
                <c:pt idx="3">
                  <c:v>Data and Research</c:v>
                </c:pt>
                <c:pt idx="4">
                  <c:v>Intelligence</c:v>
                </c:pt>
                <c:pt idx="5">
                  <c:v>Compliance and Regulation</c:v>
                </c:pt>
                <c:pt idx="6">
                  <c:v>Senior Executive</c:v>
                </c:pt>
                <c:pt idx="7">
                  <c:v>Science and Health</c:v>
                </c:pt>
                <c:pt idx="8">
                  <c:v>Monitoring and Audit</c:v>
                </c:pt>
                <c:pt idx="9">
                  <c:v>Accounting and Finance</c:v>
                </c:pt>
                <c:pt idx="10">
                  <c:v>Information and Knowledge Management</c:v>
                </c:pt>
                <c:pt idx="11">
                  <c:v>Policy</c:v>
                </c:pt>
                <c:pt idx="12">
                  <c:v>Legal and Parliamentary</c:v>
                </c:pt>
                <c:pt idx="13">
                  <c:v>Portfolio, Program and Project Management</c:v>
                </c:pt>
                <c:pt idx="14">
                  <c:v>Service Delivery</c:v>
                </c:pt>
                <c:pt idx="15">
                  <c:v>Communications and Marketing</c:v>
                </c:pt>
                <c:pt idx="16">
                  <c:v>Administration</c:v>
                </c:pt>
                <c:pt idx="17">
                  <c:v>Human Resources</c:v>
                </c:pt>
              </c:strCache>
            </c:strRef>
          </c:cat>
          <c:val>
            <c:numRef>
              <c:f>'A3. Tornado-WomenMen by family'!$C$28:$C$45</c:f>
              <c:numCache>
                <c:formatCode>0.00%</c:formatCode>
                <c:ptCount val="18"/>
                <c:pt idx="0">
                  <c:v>0.79082082965578104</c:v>
                </c:pt>
                <c:pt idx="1">
                  <c:v>0.68523676880222839</c:v>
                </c:pt>
                <c:pt idx="2">
                  <c:v>0.64853461055992701</c:v>
                </c:pt>
                <c:pt idx="3">
                  <c:v>0.50648795094823895</c:v>
                </c:pt>
                <c:pt idx="4">
                  <c:v>0.49770884737398657</c:v>
                </c:pt>
                <c:pt idx="5">
                  <c:v>0.46317601231995653</c:v>
                </c:pt>
                <c:pt idx="6">
                  <c:v>0.46158224245873647</c:v>
                </c:pt>
                <c:pt idx="7">
                  <c:v>0.42233263598326359</c:v>
                </c:pt>
                <c:pt idx="8">
                  <c:v>0.41014332965821387</c:v>
                </c:pt>
                <c:pt idx="9">
                  <c:v>0.38740208877284593</c:v>
                </c:pt>
                <c:pt idx="10">
                  <c:v>0.35807150595882997</c:v>
                </c:pt>
                <c:pt idx="11">
                  <c:v>0.35219110644822854</c:v>
                </c:pt>
                <c:pt idx="12">
                  <c:v>0.3242455775234131</c:v>
                </c:pt>
                <c:pt idx="13">
                  <c:v>0.33231791747438388</c:v>
                </c:pt>
                <c:pt idx="14">
                  <c:v>0.28107610239091224</c:v>
                </c:pt>
                <c:pt idx="15">
                  <c:v>0.27051671732522797</c:v>
                </c:pt>
                <c:pt idx="16">
                  <c:v>0.24835385055825937</c:v>
                </c:pt>
                <c:pt idx="17">
                  <c:v>0.25446182152713892</c:v>
                </c:pt>
              </c:numCache>
            </c:numRef>
          </c:val>
          <c:extLst>
            <c:ext xmlns:c16="http://schemas.microsoft.com/office/drawing/2014/chart" uri="{C3380CC4-5D6E-409C-BE32-E72D297353CC}">
              <c16:uniqueId val="{00000000-74A1-4EA9-8183-38DD05D50838}"/>
            </c:ext>
          </c:extLst>
        </c:ser>
        <c:ser>
          <c:idx val="0"/>
          <c:order val="1"/>
          <c:tx>
            <c:strRef>
              <c:f>'A3. Tornado-WomenMen by family'!$B$27</c:f>
              <c:strCache>
                <c:ptCount val="1"/>
                <c:pt idx="0">
                  <c:v>Women</c:v>
                </c:pt>
              </c:strCache>
            </c:strRef>
          </c:tx>
          <c:spPr>
            <a:solidFill>
              <a:schemeClr val="accent2"/>
            </a:solidFill>
            <a:ln>
              <a:solidFill>
                <a:schemeClr val="accent2"/>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 Tornado-WomenMen by family'!$A$28:$A$45</c:f>
              <c:strCache>
                <c:ptCount val="18"/>
                <c:pt idx="0">
                  <c:v>Engineering and Technical</c:v>
                </c:pt>
                <c:pt idx="1">
                  <c:v>Trades and Labour</c:v>
                </c:pt>
                <c:pt idx="2">
                  <c:v>ICT and Digital Solutions</c:v>
                </c:pt>
                <c:pt idx="3">
                  <c:v>Data and Research</c:v>
                </c:pt>
                <c:pt idx="4">
                  <c:v>Intelligence</c:v>
                </c:pt>
                <c:pt idx="5">
                  <c:v>Compliance and Regulation</c:v>
                </c:pt>
                <c:pt idx="6">
                  <c:v>Senior Executive</c:v>
                </c:pt>
                <c:pt idx="7">
                  <c:v>Science and Health</c:v>
                </c:pt>
                <c:pt idx="8">
                  <c:v>Monitoring and Audit</c:v>
                </c:pt>
                <c:pt idx="9">
                  <c:v>Accounting and Finance</c:v>
                </c:pt>
                <c:pt idx="10">
                  <c:v>Information and Knowledge Management</c:v>
                </c:pt>
                <c:pt idx="11">
                  <c:v>Policy</c:v>
                </c:pt>
                <c:pt idx="12">
                  <c:v>Legal and Parliamentary</c:v>
                </c:pt>
                <c:pt idx="13">
                  <c:v>Portfolio, Program and Project Management</c:v>
                </c:pt>
                <c:pt idx="14">
                  <c:v>Service Delivery</c:v>
                </c:pt>
                <c:pt idx="15">
                  <c:v>Communications and Marketing</c:v>
                </c:pt>
                <c:pt idx="16">
                  <c:v>Administration</c:v>
                </c:pt>
                <c:pt idx="17">
                  <c:v>Human Resources</c:v>
                </c:pt>
              </c:strCache>
            </c:strRef>
          </c:cat>
          <c:val>
            <c:numRef>
              <c:f>'A3. Tornado-WomenMen by family'!$B$28:$B$45</c:f>
              <c:numCache>
                <c:formatCode>0.00%</c:formatCode>
                <c:ptCount val="18"/>
                <c:pt idx="0">
                  <c:v>-0.16063548102383055</c:v>
                </c:pt>
                <c:pt idx="1">
                  <c:v>-0.25069637883008355</c:v>
                </c:pt>
                <c:pt idx="2">
                  <c:v>-0.30699053483863609</c:v>
                </c:pt>
                <c:pt idx="3">
                  <c:v>-0.45772137459004708</c:v>
                </c:pt>
                <c:pt idx="4">
                  <c:v>-0.46210786041593233</c:v>
                </c:pt>
                <c:pt idx="5">
                  <c:v>-0.49316061237430925</c:v>
                </c:pt>
                <c:pt idx="6">
                  <c:v>-0.52418895845190661</c:v>
                </c:pt>
                <c:pt idx="7">
                  <c:v>-0.53817991631799167</c:v>
                </c:pt>
                <c:pt idx="8">
                  <c:v>-0.55200294009555306</c:v>
                </c:pt>
                <c:pt idx="9">
                  <c:v>-0.57751305483028725</c:v>
                </c:pt>
                <c:pt idx="10">
                  <c:v>-0.60617551462621888</c:v>
                </c:pt>
                <c:pt idx="11">
                  <c:v>-0.61350980550399481</c:v>
                </c:pt>
                <c:pt idx="12">
                  <c:v>-0.63496357960457861</c:v>
                </c:pt>
                <c:pt idx="13">
                  <c:v>-0.63592725930028615</c:v>
                </c:pt>
                <c:pt idx="14">
                  <c:v>-0.68657174655562803</c:v>
                </c:pt>
                <c:pt idx="15">
                  <c:v>-0.69908814589665658</c:v>
                </c:pt>
                <c:pt idx="16">
                  <c:v>-0.71908101918121958</c:v>
                </c:pt>
                <c:pt idx="17">
                  <c:v>-0.72382704691812316</c:v>
                </c:pt>
              </c:numCache>
            </c:numRef>
          </c:val>
          <c:extLst>
            <c:ext xmlns:c16="http://schemas.microsoft.com/office/drawing/2014/chart" uri="{C3380CC4-5D6E-409C-BE32-E72D297353CC}">
              <c16:uniqueId val="{00000001-74A1-4EA9-8183-38DD05D50838}"/>
            </c:ext>
          </c:extLst>
        </c:ser>
        <c:dLbls>
          <c:showLegendKey val="0"/>
          <c:showVal val="0"/>
          <c:showCatName val="0"/>
          <c:showSerName val="0"/>
          <c:showPercent val="0"/>
          <c:showBubbleSize val="0"/>
        </c:dLbls>
        <c:gapWidth val="142"/>
        <c:overlap val="100"/>
        <c:axId val="602918816"/>
        <c:axId val="602920784"/>
      </c:barChart>
      <c:catAx>
        <c:axId val="60291881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920784"/>
        <c:crossesAt val="0"/>
        <c:auto val="1"/>
        <c:lblAlgn val="ctr"/>
        <c:lblOffset val="100"/>
        <c:noMultiLvlLbl val="0"/>
      </c:catAx>
      <c:valAx>
        <c:axId val="602920784"/>
        <c:scaling>
          <c:orientation val="minMax"/>
        </c:scaling>
        <c:delete val="1"/>
        <c:axPos val="b"/>
        <c:numFmt formatCode="#,##0;#,##0%" sourceLinked="0"/>
        <c:majorTickMark val="out"/>
        <c:minorTickMark val="none"/>
        <c:tickLblPos val="nextTo"/>
        <c:crossAx val="602918816"/>
        <c:crosses val="autoZero"/>
        <c:crossBetween val="between"/>
      </c:valAx>
      <c:spPr>
        <a:noFill/>
        <a:ln>
          <a:noFill/>
        </a:ln>
        <a:effectLst/>
      </c:spPr>
    </c:plotArea>
    <c:legend>
      <c:legendPos val="b"/>
      <c:layout>
        <c:manualLayout>
          <c:xMode val="edge"/>
          <c:yMode val="edge"/>
          <c:x val="0.53536882862078849"/>
          <c:y val="0.94033340045145775"/>
          <c:w val="0.31956002743317502"/>
          <c:h val="4.770308825797851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32192310029602"/>
          <c:y val="3.7243715665460836E-2"/>
          <c:w val="0.70182065995885035"/>
          <c:h val="0.8670631787677693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 Q9 - occupations'!$B$97:$B$105</c:f>
              <c:strCache>
                <c:ptCount val="9"/>
                <c:pt idx="0">
                  <c:v>Employment conditions</c:v>
                </c:pt>
                <c:pt idx="1">
                  <c:v>Events and external engagements</c:v>
                </c:pt>
                <c:pt idx="2">
                  <c:v>Gender inclusive communications</c:v>
                </c:pt>
                <c:pt idx="3">
                  <c:v>Senior representation and recruitment</c:v>
                </c:pt>
                <c:pt idx="4">
                  <c:v>Learning and development</c:v>
                </c:pt>
                <c:pt idx="5">
                  <c:v>None</c:v>
                </c:pt>
                <c:pt idx="6">
                  <c:v>Representation not an issue</c:v>
                </c:pt>
                <c:pt idx="7">
                  <c:v>Graduate, early career</c:v>
                </c:pt>
                <c:pt idx="8">
                  <c:v>General recruitment</c:v>
                </c:pt>
              </c:strCache>
            </c:strRef>
          </c:cat>
          <c:val>
            <c:numRef>
              <c:f>'A3. Q9 - occupations'!$C$97:$C$105</c:f>
              <c:numCache>
                <c:formatCode>0%</c:formatCode>
                <c:ptCount val="9"/>
                <c:pt idx="0">
                  <c:v>7.5268817204301078E-2</c:v>
                </c:pt>
                <c:pt idx="1">
                  <c:v>9.6774193548387094E-2</c:v>
                </c:pt>
                <c:pt idx="2">
                  <c:v>0.10752688172043011</c:v>
                </c:pt>
                <c:pt idx="3">
                  <c:v>0.10752688172043011</c:v>
                </c:pt>
                <c:pt idx="4">
                  <c:v>0.15053763440860216</c:v>
                </c:pt>
                <c:pt idx="5">
                  <c:v>0.16129032258064516</c:v>
                </c:pt>
                <c:pt idx="6">
                  <c:v>0.16129032258064516</c:v>
                </c:pt>
                <c:pt idx="7">
                  <c:v>0.22580645161290322</c:v>
                </c:pt>
                <c:pt idx="8">
                  <c:v>0.32258064516129031</c:v>
                </c:pt>
              </c:numCache>
            </c:numRef>
          </c:val>
          <c:extLst>
            <c:ext xmlns:c16="http://schemas.microsoft.com/office/drawing/2014/chart" uri="{C3380CC4-5D6E-409C-BE32-E72D297353CC}">
              <c16:uniqueId val="{00000000-346A-40F6-B683-7BB0C36AB4E9}"/>
            </c:ext>
          </c:extLst>
        </c:ser>
        <c:dLbls>
          <c:dLblPos val="outEnd"/>
          <c:showLegendKey val="0"/>
          <c:showVal val="1"/>
          <c:showCatName val="0"/>
          <c:showSerName val="0"/>
          <c:showPercent val="0"/>
          <c:showBubbleSize val="0"/>
        </c:dLbls>
        <c:gapWidth val="182"/>
        <c:axId val="474111408"/>
        <c:axId val="474114688"/>
      </c:barChart>
      <c:catAx>
        <c:axId val="474111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74114688"/>
        <c:crosses val="autoZero"/>
        <c:auto val="1"/>
        <c:lblAlgn val="ctr"/>
        <c:lblOffset val="100"/>
        <c:noMultiLvlLbl val="0"/>
      </c:catAx>
      <c:valAx>
        <c:axId val="474114688"/>
        <c:scaling>
          <c:orientation val="minMax"/>
        </c:scaling>
        <c:delete val="1"/>
        <c:axPos val="b"/>
        <c:title>
          <c:tx>
            <c:rich>
              <a:bodyPr/>
              <a:lstStyle/>
              <a:p>
                <a:pPr>
                  <a:defRPr b="0"/>
                </a:pPr>
                <a:r>
                  <a:rPr lang="en-AU" b="1">
                    <a:solidFill>
                      <a:schemeClr val="tx1">
                        <a:lumMod val="65000"/>
                        <a:lumOff val="35000"/>
                      </a:schemeClr>
                    </a:solidFill>
                  </a:rPr>
                  <a:t>% of agencies</a:t>
                </a:r>
              </a:p>
            </c:rich>
          </c:tx>
          <c:layout>
            <c:manualLayout>
              <c:xMode val="edge"/>
              <c:yMode val="edge"/>
              <c:x val="0.29232635060639467"/>
              <c:y val="0.91885093194662681"/>
            </c:manualLayout>
          </c:layout>
          <c:overlay val="0"/>
        </c:title>
        <c:numFmt formatCode="0%" sourceLinked="1"/>
        <c:majorTickMark val="none"/>
        <c:minorTickMark val="none"/>
        <c:tickLblPos val="nextTo"/>
        <c:crossAx val="474111408"/>
        <c:crosses val="autoZero"/>
        <c:crossBetween val="between"/>
      </c:valAx>
    </c:plotArea>
    <c:plotVisOnly val="1"/>
    <c:dispBlanksAs val="gap"/>
    <c:showDLblsOverMax val="0"/>
  </c:chart>
  <c:spPr>
    <a:ln>
      <a:noFill/>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465513200045154"/>
          <c:y val="2.7472527472527472E-2"/>
          <c:w val="0.60249433539660902"/>
          <c:h val="0.8796077937810221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 Q10 - Talent Pipeline '!$B$97:$B$108</c:f>
              <c:strCache>
                <c:ptCount val="6"/>
                <c:pt idx="0">
                  <c:v>Workforce/succession planning</c:v>
                </c:pt>
                <c:pt idx="1">
                  <c:v>Gender balance on selection panels </c:v>
                </c:pt>
                <c:pt idx="2">
                  <c:v>Other</c:v>
                </c:pt>
                <c:pt idx="3">
                  <c:v>Creating talent pipelines </c:v>
                </c:pt>
                <c:pt idx="4">
                  <c:v>Recruit from specialist graduate/entry level programs</c:v>
                </c:pt>
                <c:pt idx="5">
                  <c:v>Focus on gender equity/representation in select occupations</c:v>
                </c:pt>
              </c:strCache>
            </c:strRef>
          </c:cat>
          <c:val>
            <c:numRef>
              <c:f>'A3. Q10 - Talent Pipeline '!$C$97:$C$108</c:f>
              <c:numCache>
                <c:formatCode>0%</c:formatCode>
                <c:ptCount val="6"/>
                <c:pt idx="0">
                  <c:v>7.5268817204301078E-2</c:v>
                </c:pt>
                <c:pt idx="1">
                  <c:v>8.6021505376344093E-2</c:v>
                </c:pt>
                <c:pt idx="2">
                  <c:v>8.6021505376344093E-2</c:v>
                </c:pt>
                <c:pt idx="3">
                  <c:v>0.11827956989247312</c:v>
                </c:pt>
                <c:pt idx="4">
                  <c:v>0.11827956989247312</c:v>
                </c:pt>
                <c:pt idx="5">
                  <c:v>0.17204301075268819</c:v>
                </c:pt>
              </c:numCache>
            </c:numRef>
          </c:val>
          <c:extLst>
            <c:ext xmlns:c16="http://schemas.microsoft.com/office/drawing/2014/chart" uri="{C3380CC4-5D6E-409C-BE32-E72D297353CC}">
              <c16:uniqueId val="{00000000-0889-4CEA-A642-9E2040502280}"/>
            </c:ext>
          </c:extLst>
        </c:ser>
        <c:dLbls>
          <c:dLblPos val="outEnd"/>
          <c:showLegendKey val="0"/>
          <c:showVal val="1"/>
          <c:showCatName val="0"/>
          <c:showSerName val="0"/>
          <c:showPercent val="0"/>
          <c:showBubbleSize val="0"/>
        </c:dLbls>
        <c:gapWidth val="182"/>
        <c:axId val="474111408"/>
        <c:axId val="474114688"/>
      </c:barChart>
      <c:catAx>
        <c:axId val="474111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74114688"/>
        <c:crosses val="autoZero"/>
        <c:auto val="1"/>
        <c:lblAlgn val="ctr"/>
        <c:lblOffset val="100"/>
        <c:noMultiLvlLbl val="0"/>
      </c:catAx>
      <c:valAx>
        <c:axId val="474114688"/>
        <c:scaling>
          <c:orientation val="minMax"/>
        </c:scaling>
        <c:delete val="1"/>
        <c:axPos val="b"/>
        <c:title>
          <c:tx>
            <c:rich>
              <a:bodyPr/>
              <a:lstStyle/>
              <a:p>
                <a:pPr>
                  <a:defRPr b="1"/>
                </a:pPr>
                <a:r>
                  <a:rPr lang="en-AU" b="1">
                    <a:solidFill>
                      <a:schemeClr val="tx1">
                        <a:lumMod val="65000"/>
                        <a:lumOff val="35000"/>
                      </a:schemeClr>
                    </a:solidFill>
                  </a:rPr>
                  <a:t>% of agencies</a:t>
                </a:r>
              </a:p>
            </c:rich>
          </c:tx>
          <c:layout>
            <c:manualLayout>
              <c:xMode val="edge"/>
              <c:yMode val="edge"/>
              <c:x val="0.38819435883634723"/>
              <c:y val="0.92229256801779391"/>
            </c:manualLayout>
          </c:layout>
          <c:overlay val="0"/>
        </c:title>
        <c:numFmt formatCode="0%" sourceLinked="1"/>
        <c:majorTickMark val="none"/>
        <c:minorTickMark val="none"/>
        <c:tickLblPos val="nextTo"/>
        <c:crossAx val="474111408"/>
        <c:crosses val="autoZero"/>
        <c:crossBetween val="between"/>
      </c:valAx>
    </c:plotArea>
    <c:plotVisOnly val="1"/>
    <c:dispBlanksAs val="gap"/>
    <c:showDLblsOverMax val="0"/>
  </c:chart>
  <c:spPr>
    <a:ln>
      <a:noFill/>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376917540263925"/>
          <c:y val="6.1060227588121012E-2"/>
          <c:w val="0.49606005892404775"/>
          <c:h val="0.8484059575985658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'Q26 - Gender balance'!$F$113:$F$118</c:f>
              <c:strCache>
                <c:ptCount val="6"/>
                <c:pt idx="0">
                  <c:v>Other</c:v>
                </c:pt>
                <c:pt idx="1">
                  <c:v>HR/recruitment can provide members to preserve gender balance on panels</c:v>
                </c:pt>
                <c:pt idx="2">
                  <c:v>Approval of selection panel prior to the recruitment process</c:v>
                </c:pt>
                <c:pt idx="3">
                  <c:v>Provide education/training on importance of panel gender diversity </c:v>
                </c:pt>
                <c:pt idx="4">
                  <c:v>Maintain gender balance on panels</c:v>
                </c:pt>
                <c:pt idx="5">
                  <c:v>Abide by agency recruitment policies and guidelines</c:v>
                </c:pt>
              </c:strCache>
            </c:strRef>
          </c:cat>
          <c:val>
            <c:numRef>
              <c:f>'Q26 - Gender balance'!$G$113:$G$118</c:f>
              <c:numCache>
                <c:formatCode>0%</c:formatCode>
                <c:ptCount val="6"/>
                <c:pt idx="0">
                  <c:v>5.3763440860215055E-2</c:v>
                </c:pt>
                <c:pt idx="1">
                  <c:v>6.4516129032258063E-2</c:v>
                </c:pt>
                <c:pt idx="2">
                  <c:v>0.20430107526881722</c:v>
                </c:pt>
                <c:pt idx="3">
                  <c:v>0.22580645161290322</c:v>
                </c:pt>
                <c:pt idx="4">
                  <c:v>0.33333333333333331</c:v>
                </c:pt>
                <c:pt idx="5">
                  <c:v>0.4946236559139785</c:v>
                </c:pt>
              </c:numCache>
            </c:numRef>
          </c:val>
          <c:extLst>
            <c:ext xmlns:c16="http://schemas.microsoft.com/office/drawing/2014/chart" uri="{C3380CC4-5D6E-409C-BE32-E72D297353CC}">
              <c16:uniqueId val="{00000000-D339-4CB7-A538-4FB38F3752B0}"/>
            </c:ext>
          </c:extLst>
        </c:ser>
        <c:dLbls>
          <c:dLblPos val="outEnd"/>
          <c:showLegendKey val="0"/>
          <c:showVal val="1"/>
          <c:showCatName val="0"/>
          <c:showSerName val="0"/>
          <c:showPercent val="0"/>
          <c:showBubbleSize val="0"/>
        </c:dLbls>
        <c:gapWidth val="182"/>
        <c:axId val="474111408"/>
        <c:axId val="474114688"/>
      </c:barChart>
      <c:catAx>
        <c:axId val="474111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74114688"/>
        <c:crosses val="autoZero"/>
        <c:auto val="1"/>
        <c:lblAlgn val="ctr"/>
        <c:lblOffset val="100"/>
        <c:noMultiLvlLbl val="0"/>
      </c:catAx>
      <c:valAx>
        <c:axId val="474114688"/>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 of agencies</a:t>
                </a:r>
              </a:p>
            </c:rich>
          </c:tx>
          <c:layout>
            <c:manualLayout>
              <c:xMode val="edge"/>
              <c:yMode val="edge"/>
              <c:x val="0.50758735643160369"/>
              <c:y val="0.9260514485748877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474111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350409210532867"/>
          <c:y val="5.1234073702983933E-2"/>
          <c:w val="0.50386633178530194"/>
          <c:h val="0.8834187681247829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'A3. Q27 Biases Select Process'!$C$107:$C$112</c:f>
              <c:strCache>
                <c:ptCount val="6"/>
                <c:pt idx="0">
                  <c:v>Panel selections maintain a diversity of employees</c:v>
                </c:pt>
                <c:pt idx="1">
                  <c:v>Declare a conflict of interest</c:v>
                </c:pt>
                <c:pt idx="2">
                  <c:v>Provide guidance in recruitment policies and procedures</c:v>
                </c:pt>
                <c:pt idx="3">
                  <c:v>HR/delegates responsible for ensuring an impartial recruitment process </c:v>
                </c:pt>
                <c:pt idx="4">
                  <c:v>Any recruitment concerns can be escalated</c:v>
                </c:pt>
                <c:pt idx="5">
                  <c:v>Provide training, information or guidance to panelists</c:v>
                </c:pt>
              </c:strCache>
            </c:strRef>
          </c:cat>
          <c:val>
            <c:numRef>
              <c:f>'A3. Q27 Biases Select Process'!$D$107:$D$112</c:f>
              <c:numCache>
                <c:formatCode>0%</c:formatCode>
                <c:ptCount val="6"/>
                <c:pt idx="0">
                  <c:v>7.5268817204301078E-2</c:v>
                </c:pt>
                <c:pt idx="1">
                  <c:v>0.11827956989247312</c:v>
                </c:pt>
                <c:pt idx="2">
                  <c:v>0.13978494623655913</c:v>
                </c:pt>
                <c:pt idx="3">
                  <c:v>0.13978494623655913</c:v>
                </c:pt>
                <c:pt idx="4">
                  <c:v>0.15053763440860216</c:v>
                </c:pt>
                <c:pt idx="5">
                  <c:v>0.58064516129032262</c:v>
                </c:pt>
              </c:numCache>
            </c:numRef>
          </c:val>
          <c:extLst>
            <c:ext xmlns:c16="http://schemas.microsoft.com/office/drawing/2014/chart" uri="{C3380CC4-5D6E-409C-BE32-E72D297353CC}">
              <c16:uniqueId val="{00000000-4FEA-4AC3-A648-68EFD8AF7153}"/>
            </c:ext>
          </c:extLst>
        </c:ser>
        <c:dLbls>
          <c:dLblPos val="outEnd"/>
          <c:showLegendKey val="0"/>
          <c:showVal val="1"/>
          <c:showCatName val="0"/>
          <c:showSerName val="0"/>
          <c:showPercent val="0"/>
          <c:showBubbleSize val="0"/>
        </c:dLbls>
        <c:gapWidth val="182"/>
        <c:axId val="591524968"/>
        <c:axId val="591521688"/>
      </c:barChart>
      <c:catAx>
        <c:axId val="591524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591521688"/>
        <c:crosses val="autoZero"/>
        <c:auto val="1"/>
        <c:lblAlgn val="ctr"/>
        <c:lblOffset val="100"/>
        <c:noMultiLvlLbl val="0"/>
      </c:catAx>
      <c:valAx>
        <c:axId val="591521688"/>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a:t>
                </a:r>
                <a:r>
                  <a:rPr lang="en-AU" b="1" baseline="0"/>
                  <a:t> of agencies</a:t>
                </a:r>
                <a:endParaRPr lang="en-AU" b="1"/>
              </a:p>
            </c:rich>
          </c:tx>
          <c:layout>
            <c:manualLayout>
              <c:xMode val="edge"/>
              <c:yMode val="edge"/>
              <c:x val="0.4982500065110384"/>
              <c:y val="0.927877394348352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591524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435501653803748E-2"/>
          <c:y val="3.6185996019540437E-2"/>
          <c:w val="0.95148842337375961"/>
          <c:h val="0.61295686600781563"/>
        </c:manualLayout>
      </c:layout>
      <c:lineChart>
        <c:grouping val="standard"/>
        <c:varyColors val="0"/>
        <c:ser>
          <c:idx val="0"/>
          <c:order val="0"/>
          <c:tx>
            <c:strRef>
              <c:f>'A4. Flexible work'!$A$163</c:f>
              <c:strCache>
                <c:ptCount val="1"/>
                <c:pt idx="0">
                  <c:v>Part time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work'!$C$162:$D$162</c:f>
              <c:numCache>
                <c:formatCode>General</c:formatCode>
                <c:ptCount val="2"/>
                <c:pt idx="0">
                  <c:v>2021</c:v>
                </c:pt>
                <c:pt idx="1">
                  <c:v>2023</c:v>
                </c:pt>
              </c:numCache>
            </c:numRef>
          </c:cat>
          <c:val>
            <c:numRef>
              <c:f>'A4. Flexible work'!$C$163:$D$163</c:f>
              <c:numCache>
                <c:formatCode>0%</c:formatCode>
                <c:ptCount val="2"/>
                <c:pt idx="0">
                  <c:v>0.14952980918469824</c:v>
                </c:pt>
                <c:pt idx="1">
                  <c:v>0.13515019303807402</c:v>
                </c:pt>
              </c:numCache>
            </c:numRef>
          </c:val>
          <c:smooth val="0"/>
          <c:extLst>
            <c:ext xmlns:c16="http://schemas.microsoft.com/office/drawing/2014/chart" uri="{C3380CC4-5D6E-409C-BE32-E72D297353CC}">
              <c16:uniqueId val="{00000000-02FF-4267-8F4D-07182944EA91}"/>
            </c:ext>
          </c:extLst>
        </c:ser>
        <c:ser>
          <c:idx val="1"/>
          <c:order val="1"/>
          <c:tx>
            <c:strRef>
              <c:f>'A4. Flexible work'!$A$164</c:f>
              <c:strCache>
                <c:ptCount val="1"/>
                <c:pt idx="0">
                  <c:v>Flexible hours of work</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work'!$C$162:$D$162</c:f>
              <c:numCache>
                <c:formatCode>General</c:formatCode>
                <c:ptCount val="2"/>
                <c:pt idx="0">
                  <c:v>2021</c:v>
                </c:pt>
                <c:pt idx="1">
                  <c:v>2023</c:v>
                </c:pt>
              </c:numCache>
            </c:numRef>
          </c:cat>
          <c:val>
            <c:numRef>
              <c:f>'A4. Flexible work'!$C$164:$D$164</c:f>
              <c:numCache>
                <c:formatCode>0%</c:formatCode>
                <c:ptCount val="2"/>
                <c:pt idx="0">
                  <c:v>0.28048936364466354</c:v>
                </c:pt>
                <c:pt idx="1">
                  <c:v>0.27718227188549549</c:v>
                </c:pt>
              </c:numCache>
            </c:numRef>
          </c:val>
          <c:smooth val="0"/>
          <c:extLst>
            <c:ext xmlns:c16="http://schemas.microsoft.com/office/drawing/2014/chart" uri="{C3380CC4-5D6E-409C-BE32-E72D297353CC}">
              <c16:uniqueId val="{00000001-02FF-4267-8F4D-07182944EA91}"/>
            </c:ext>
          </c:extLst>
        </c:ser>
        <c:ser>
          <c:idx val="2"/>
          <c:order val="2"/>
          <c:tx>
            <c:strRef>
              <c:f>'A4. Flexible work'!$A$165</c:f>
              <c:strCache>
                <c:ptCount val="1"/>
                <c:pt idx="0">
                  <c:v>Compressed work week</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work'!$C$162:$D$162</c:f>
              <c:numCache>
                <c:formatCode>General</c:formatCode>
                <c:ptCount val="2"/>
                <c:pt idx="0">
                  <c:v>2021</c:v>
                </c:pt>
                <c:pt idx="1">
                  <c:v>2023</c:v>
                </c:pt>
              </c:numCache>
            </c:numRef>
          </c:cat>
          <c:val>
            <c:numRef>
              <c:f>'A4. Flexible work'!$C$165:$D$165</c:f>
              <c:numCache>
                <c:formatCode>0%</c:formatCode>
                <c:ptCount val="2"/>
                <c:pt idx="0">
                  <c:v>2.6431114763078609E-2</c:v>
                </c:pt>
                <c:pt idx="1">
                  <c:v>3.4174016761354717E-2</c:v>
                </c:pt>
              </c:numCache>
            </c:numRef>
          </c:val>
          <c:smooth val="0"/>
          <c:extLst>
            <c:ext xmlns:c16="http://schemas.microsoft.com/office/drawing/2014/chart" uri="{C3380CC4-5D6E-409C-BE32-E72D297353CC}">
              <c16:uniqueId val="{00000002-02FF-4267-8F4D-07182944EA91}"/>
            </c:ext>
          </c:extLst>
        </c:ser>
        <c:ser>
          <c:idx val="3"/>
          <c:order val="3"/>
          <c:tx>
            <c:strRef>
              <c:f>'A4. Flexible work'!$A$166</c:f>
              <c:strCache>
                <c:ptCount val="1"/>
                <c:pt idx="0">
                  <c:v>Job sharing</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work'!$C$162:$D$162</c:f>
              <c:numCache>
                <c:formatCode>General</c:formatCode>
                <c:ptCount val="2"/>
                <c:pt idx="0">
                  <c:v>2021</c:v>
                </c:pt>
                <c:pt idx="1">
                  <c:v>2023</c:v>
                </c:pt>
              </c:numCache>
            </c:numRef>
          </c:cat>
          <c:val>
            <c:numRef>
              <c:f>'A4. Flexible work'!$C$166:$D$166</c:f>
              <c:numCache>
                <c:formatCode>0.0%</c:formatCode>
                <c:ptCount val="2"/>
                <c:pt idx="0">
                  <c:v>3.7980461973888434E-3</c:v>
                </c:pt>
                <c:pt idx="1">
                  <c:v>2.9191123387425845E-3</c:v>
                </c:pt>
              </c:numCache>
            </c:numRef>
          </c:val>
          <c:smooth val="0"/>
          <c:extLst>
            <c:ext xmlns:c16="http://schemas.microsoft.com/office/drawing/2014/chart" uri="{C3380CC4-5D6E-409C-BE32-E72D297353CC}">
              <c16:uniqueId val="{00000003-02FF-4267-8F4D-07182944EA91}"/>
            </c:ext>
          </c:extLst>
        </c:ser>
        <c:ser>
          <c:idx val="4"/>
          <c:order val="4"/>
          <c:tx>
            <c:strRef>
              <c:f>'A4. Flexible work'!$A$167</c:f>
              <c:strCache>
                <c:ptCount val="1"/>
                <c:pt idx="0">
                  <c:v>Working away from the office /
working from home</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work'!$C$162:$D$162</c:f>
              <c:numCache>
                <c:formatCode>General</c:formatCode>
                <c:ptCount val="2"/>
                <c:pt idx="0">
                  <c:v>2021</c:v>
                </c:pt>
                <c:pt idx="1">
                  <c:v>2023</c:v>
                </c:pt>
              </c:numCache>
            </c:numRef>
          </c:cat>
          <c:val>
            <c:numRef>
              <c:f>'A4. Flexible work'!$C$167:$D$167</c:f>
              <c:numCache>
                <c:formatCode>0%</c:formatCode>
                <c:ptCount val="2"/>
                <c:pt idx="0">
                  <c:v>0.45666369706376686</c:v>
                </c:pt>
                <c:pt idx="1">
                  <c:v>0.56668445337267337</c:v>
                </c:pt>
              </c:numCache>
            </c:numRef>
          </c:val>
          <c:smooth val="0"/>
          <c:extLst>
            <c:ext xmlns:c16="http://schemas.microsoft.com/office/drawing/2014/chart" uri="{C3380CC4-5D6E-409C-BE32-E72D297353CC}">
              <c16:uniqueId val="{00000004-02FF-4267-8F4D-07182944EA91}"/>
            </c:ext>
          </c:extLst>
        </c:ser>
        <c:dLbls>
          <c:dLblPos val="ctr"/>
          <c:showLegendKey val="0"/>
          <c:showVal val="1"/>
          <c:showCatName val="0"/>
          <c:showSerName val="0"/>
          <c:showPercent val="0"/>
          <c:showBubbleSize val="0"/>
        </c:dLbls>
        <c:marker val="1"/>
        <c:smooth val="0"/>
        <c:axId val="588171344"/>
        <c:axId val="588171672"/>
      </c:lineChart>
      <c:catAx>
        <c:axId val="588171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588171672"/>
        <c:crosses val="autoZero"/>
        <c:auto val="1"/>
        <c:lblAlgn val="ctr"/>
        <c:lblOffset val="100"/>
        <c:noMultiLvlLbl val="0"/>
      </c:catAx>
      <c:valAx>
        <c:axId val="588171672"/>
        <c:scaling>
          <c:orientation val="minMax"/>
        </c:scaling>
        <c:delete val="1"/>
        <c:axPos val="l"/>
        <c:numFmt formatCode="0%" sourceLinked="1"/>
        <c:majorTickMark val="none"/>
        <c:minorTickMark val="none"/>
        <c:tickLblPos val="nextTo"/>
        <c:crossAx val="588171344"/>
        <c:crosses val="autoZero"/>
        <c:crossBetween val="between"/>
      </c:valAx>
      <c:spPr>
        <a:noFill/>
        <a:ln>
          <a:noFill/>
        </a:ln>
        <a:effectLst/>
      </c:spPr>
    </c:plotArea>
    <c:legend>
      <c:legendPos val="b"/>
      <c:layout>
        <c:manualLayout>
          <c:xMode val="edge"/>
          <c:yMode val="edge"/>
          <c:x val="4.5687869501428086E-2"/>
          <c:y val="0.76027632424362013"/>
          <c:w val="0.9218546909861185"/>
          <c:h val="0.232486476552471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'A4. Flexible work'!$AA$49</c:f>
              <c:strCache>
                <c:ptCount val="1"/>
                <c:pt idx="0">
                  <c:v>APS 1-6 level</c:v>
                </c:pt>
              </c:strCache>
            </c:strRef>
          </c:tx>
          <c:spPr>
            <a:solidFill>
              <a:schemeClr val="accent1"/>
            </a:solidFill>
            <a:ln>
              <a:noFill/>
            </a:ln>
            <a:effectLst/>
          </c:spPr>
          <c:invertIfNegative val="0"/>
          <c:dLbls>
            <c:dLbl>
              <c:idx val="4"/>
              <c:layout>
                <c:manualLayout>
                  <c:x val="-9.0395464140671823E-3"/>
                  <c:y val="-3.50692617920392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09-4452-B6AB-6DB2EB7A60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Flexible work'!$Z$50:$Z$55</c:f>
              <c:strCache>
                <c:ptCount val="6"/>
                <c:pt idx="0">
                  <c:v>Working away from the office / working from home</c:v>
                </c:pt>
                <c:pt idx="1">
                  <c:v>Flexible hours of work</c:v>
                </c:pt>
                <c:pt idx="2">
                  <c:v>Part-time</c:v>
                </c:pt>
                <c:pt idx="3">
                  <c:v>Compressed work week</c:v>
                </c:pt>
                <c:pt idx="4">
                  <c:v>Job sharing</c:v>
                </c:pt>
                <c:pt idx="5">
                  <c:v>None of the above</c:v>
                </c:pt>
              </c:strCache>
            </c:strRef>
          </c:cat>
          <c:val>
            <c:numRef>
              <c:f>'A4. Flexible work'!$AA$50:$AA$55</c:f>
              <c:numCache>
                <c:formatCode>0%</c:formatCode>
                <c:ptCount val="6"/>
                <c:pt idx="0">
                  <c:v>0.5075189386801342</c:v>
                </c:pt>
                <c:pt idx="1">
                  <c:v>0.29223985225945048</c:v>
                </c:pt>
                <c:pt idx="2">
                  <c:v>0.15168532267993318</c:v>
                </c:pt>
                <c:pt idx="3">
                  <c:v>2.3543009334288118E-2</c:v>
                </c:pt>
                <c:pt idx="4" formatCode="0.0%">
                  <c:v>2.3869646603600549E-3</c:v>
                </c:pt>
                <c:pt idx="5">
                  <c:v>0.28264174173042372</c:v>
                </c:pt>
              </c:numCache>
            </c:numRef>
          </c:val>
          <c:extLst>
            <c:ext xmlns:c16="http://schemas.microsoft.com/office/drawing/2014/chart" uri="{C3380CC4-5D6E-409C-BE32-E72D297353CC}">
              <c16:uniqueId val="{00000001-6E09-4452-B6AB-6DB2EB7A6083}"/>
            </c:ext>
          </c:extLst>
        </c:ser>
        <c:ser>
          <c:idx val="1"/>
          <c:order val="1"/>
          <c:tx>
            <c:strRef>
              <c:f>'A4. Flexible work'!$AB$49</c:f>
              <c:strCache>
                <c:ptCount val="1"/>
                <c:pt idx="0">
                  <c:v>EL level</c:v>
                </c:pt>
              </c:strCache>
            </c:strRef>
          </c:tx>
          <c:spPr>
            <a:solidFill>
              <a:schemeClr val="accent2"/>
            </a:solidFill>
            <a:ln>
              <a:noFill/>
            </a:ln>
            <a:effectLst/>
          </c:spPr>
          <c:invertIfNegative val="0"/>
          <c:dLbls>
            <c:dLbl>
              <c:idx val="4"/>
              <c:layout>
                <c:manualLayout>
                  <c:x val="-4.5197732070336328E-3"/>
                  <c:y val="-8.76731544800981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09-4452-B6AB-6DB2EB7A60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Flexible work'!$Z$50:$Z$55</c:f>
              <c:strCache>
                <c:ptCount val="6"/>
                <c:pt idx="0">
                  <c:v>Working away from the office / working from home</c:v>
                </c:pt>
                <c:pt idx="1">
                  <c:v>Flexible hours of work</c:v>
                </c:pt>
                <c:pt idx="2">
                  <c:v>Part-time</c:v>
                </c:pt>
                <c:pt idx="3">
                  <c:v>Compressed work week</c:v>
                </c:pt>
                <c:pt idx="4">
                  <c:v>Job sharing</c:v>
                </c:pt>
                <c:pt idx="5">
                  <c:v>None of the above</c:v>
                </c:pt>
              </c:strCache>
            </c:strRef>
          </c:cat>
          <c:val>
            <c:numRef>
              <c:f>'A4. Flexible work'!$AB$50:$AB$55</c:f>
              <c:numCache>
                <c:formatCode>0%</c:formatCode>
                <c:ptCount val="6"/>
                <c:pt idx="0">
                  <c:v>0.70077713954723175</c:v>
                </c:pt>
                <c:pt idx="1">
                  <c:v>0.25744557609692525</c:v>
                </c:pt>
                <c:pt idx="2">
                  <c:v>0.11801901819761548</c:v>
                </c:pt>
                <c:pt idx="3">
                  <c:v>5.763382729159628E-2</c:v>
                </c:pt>
                <c:pt idx="4" formatCode="0.0%">
                  <c:v>3.9098325047062796E-3</c:v>
                </c:pt>
                <c:pt idx="5">
                  <c:v>0.19184727518463099</c:v>
                </c:pt>
              </c:numCache>
            </c:numRef>
          </c:val>
          <c:extLst>
            <c:ext xmlns:c16="http://schemas.microsoft.com/office/drawing/2014/chart" uri="{C3380CC4-5D6E-409C-BE32-E72D297353CC}">
              <c16:uniqueId val="{00000003-6E09-4452-B6AB-6DB2EB7A6083}"/>
            </c:ext>
          </c:extLst>
        </c:ser>
        <c:ser>
          <c:idx val="2"/>
          <c:order val="2"/>
          <c:tx>
            <c:strRef>
              <c:f>'A4. Flexible work'!$AC$49</c:f>
              <c:strCache>
                <c:ptCount val="1"/>
                <c:pt idx="0">
                  <c:v>SES level</c:v>
                </c:pt>
              </c:strCache>
            </c:strRef>
          </c:tx>
          <c:spPr>
            <a:solidFill>
              <a:schemeClr val="accent3"/>
            </a:solidFill>
            <a:ln>
              <a:noFill/>
            </a:ln>
            <a:effectLst/>
          </c:spPr>
          <c:invertIfNegative val="0"/>
          <c:dLbls>
            <c:dLbl>
              <c:idx val="4"/>
              <c:layout>
                <c:manualLayout>
                  <c:x val="4.5197732070334671E-3"/>
                  <c:y val="-1.7534630896019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09-4452-B6AB-6DB2EB7A60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Flexible work'!$Z$50:$Z$55</c:f>
              <c:strCache>
                <c:ptCount val="6"/>
                <c:pt idx="0">
                  <c:v>Working away from the office / working from home</c:v>
                </c:pt>
                <c:pt idx="1">
                  <c:v>Flexible hours of work</c:v>
                </c:pt>
                <c:pt idx="2">
                  <c:v>Part-time</c:v>
                </c:pt>
                <c:pt idx="3">
                  <c:v>Compressed work week</c:v>
                </c:pt>
                <c:pt idx="4">
                  <c:v>Job sharing</c:v>
                </c:pt>
                <c:pt idx="5">
                  <c:v>None of the above</c:v>
                </c:pt>
              </c:strCache>
            </c:strRef>
          </c:cat>
          <c:val>
            <c:numRef>
              <c:f>'A4. Flexible work'!$AC$50:$AC$55</c:f>
              <c:numCache>
                <c:formatCode>0%</c:formatCode>
                <c:ptCount val="6"/>
                <c:pt idx="0">
                  <c:v>0.53034300791556732</c:v>
                </c:pt>
                <c:pt idx="1">
                  <c:v>0.16193931398416886</c:v>
                </c:pt>
                <c:pt idx="2">
                  <c:v>4.5844327176781004E-2</c:v>
                </c:pt>
                <c:pt idx="3">
                  <c:v>2.242744063324538E-2</c:v>
                </c:pt>
                <c:pt idx="4" formatCode="0.0%">
                  <c:v>5.6068601583113449E-3</c:v>
                </c:pt>
                <c:pt idx="5">
                  <c:v>0.40402374670184699</c:v>
                </c:pt>
              </c:numCache>
            </c:numRef>
          </c:val>
          <c:extLst>
            <c:ext xmlns:c16="http://schemas.microsoft.com/office/drawing/2014/chart" uri="{C3380CC4-5D6E-409C-BE32-E72D297353CC}">
              <c16:uniqueId val="{00000005-6E09-4452-B6AB-6DB2EB7A6083}"/>
            </c:ext>
          </c:extLst>
        </c:ser>
        <c:ser>
          <c:idx val="3"/>
          <c:order val="3"/>
          <c:tx>
            <c:strRef>
              <c:f>'A4. Flexible work'!$AD$49</c:f>
              <c:strCache>
                <c:ptCount val="1"/>
                <c:pt idx="0">
                  <c:v>All APS</c:v>
                </c:pt>
              </c:strCache>
            </c:strRef>
          </c:tx>
          <c:spPr>
            <a:solidFill>
              <a:schemeClr val="accent4"/>
            </a:solidFill>
            <a:ln>
              <a:noFill/>
            </a:ln>
            <a:effectLst/>
          </c:spPr>
          <c:invertIfNegative val="0"/>
          <c:dLbls>
            <c:dLbl>
              <c:idx val="4"/>
              <c:layout>
                <c:manualLayout>
                  <c:x val="1.1299433017583875E-2"/>
                  <c:y val="-1.75346308960196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09-4452-B6AB-6DB2EB7A60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Flexible work'!$Z$50:$Z$55</c:f>
              <c:strCache>
                <c:ptCount val="6"/>
                <c:pt idx="0">
                  <c:v>Working away from the office / working from home</c:v>
                </c:pt>
                <c:pt idx="1">
                  <c:v>Flexible hours of work</c:v>
                </c:pt>
                <c:pt idx="2">
                  <c:v>Part-time</c:v>
                </c:pt>
                <c:pt idx="3">
                  <c:v>Compressed work week</c:v>
                </c:pt>
                <c:pt idx="4">
                  <c:v>Job sharing</c:v>
                </c:pt>
                <c:pt idx="5">
                  <c:v>None of the above</c:v>
                </c:pt>
              </c:strCache>
            </c:strRef>
          </c:cat>
          <c:val>
            <c:numRef>
              <c:f>'A4. Flexible work'!$AD$50:$AD$55</c:f>
              <c:numCache>
                <c:formatCode>0%</c:formatCode>
                <c:ptCount val="6"/>
                <c:pt idx="0">
                  <c:v>0.57150544867482844</c:v>
                </c:pt>
                <c:pt idx="1">
                  <c:v>0.27954036451120201</c:v>
                </c:pt>
                <c:pt idx="2">
                  <c:v>0.13629996597051305</c:v>
                </c:pt>
                <c:pt idx="3">
                  <c:v>3.4464747825674061E-2</c:v>
                </c:pt>
                <c:pt idx="4" formatCode="0.0%">
                  <c:v>2.943946312548967E-3</c:v>
                </c:pt>
                <c:pt idx="5">
                  <c:v>0.25638448571948624</c:v>
                </c:pt>
              </c:numCache>
            </c:numRef>
          </c:val>
          <c:extLst>
            <c:ext xmlns:c16="http://schemas.microsoft.com/office/drawing/2014/chart" uri="{C3380CC4-5D6E-409C-BE32-E72D297353CC}">
              <c16:uniqueId val="{00000007-6E09-4452-B6AB-6DB2EB7A6083}"/>
            </c:ext>
          </c:extLst>
        </c:ser>
        <c:dLbls>
          <c:showLegendKey val="0"/>
          <c:showVal val="0"/>
          <c:showCatName val="0"/>
          <c:showSerName val="0"/>
          <c:showPercent val="0"/>
          <c:showBubbleSize val="0"/>
        </c:dLbls>
        <c:gapWidth val="219"/>
        <c:overlap val="-27"/>
        <c:axId val="544429344"/>
        <c:axId val="544432624"/>
      </c:barChart>
      <c:catAx>
        <c:axId val="5444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432624"/>
        <c:crosses val="autoZero"/>
        <c:auto val="1"/>
        <c:lblAlgn val="ctr"/>
        <c:lblOffset val="100"/>
        <c:noMultiLvlLbl val="0"/>
      </c:catAx>
      <c:valAx>
        <c:axId val="544432624"/>
        <c:scaling>
          <c:orientation val="minMax"/>
        </c:scaling>
        <c:delete val="1"/>
        <c:axPos val="l"/>
        <c:numFmt formatCode="0%" sourceLinked="1"/>
        <c:majorTickMark val="none"/>
        <c:minorTickMark val="none"/>
        <c:tickLblPos val="nextTo"/>
        <c:crossAx val="5444293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599631909296896E-2"/>
          <c:y val="4.4745636836242102E-2"/>
          <c:w val="0.95680063726017706"/>
          <c:h val="0.70223296911502842"/>
        </c:manualLayout>
      </c:layout>
      <c:barChart>
        <c:barDir val="col"/>
        <c:grouping val="clustered"/>
        <c:varyColors val="0"/>
        <c:ser>
          <c:idx val="0"/>
          <c:order val="0"/>
          <c:tx>
            <c:strRef>
              <c:f>'A4. Carers_v2_reworked'!$B$51</c:f>
              <c:strCache>
                <c:ptCount val="1"/>
                <c:pt idx="0">
                  <c:v>Child(ren) under 5 years</c:v>
                </c:pt>
              </c:strCache>
            </c:strRef>
          </c:tx>
          <c:spPr>
            <a:solidFill>
              <a:schemeClr val="accent1"/>
            </a:solidFill>
            <a:ln>
              <a:noFill/>
            </a:ln>
            <a:effectLst/>
          </c:spPr>
          <c:invertIfNegative val="0"/>
          <c:dLbls>
            <c:dLbl>
              <c:idx val="4"/>
              <c:layout>
                <c:manualLayout>
                  <c:x val="-1.76724665753821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45-4D0E-A849-28CB9F5BD58F}"/>
                </c:ext>
              </c:extLst>
            </c:dLbl>
            <c:dLbl>
              <c:idx val="5"/>
              <c:layout>
                <c:manualLayout>
                  <c:x val="-1.374525178085275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45-4D0E-A849-28CB9F5BD5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Carers_v2_reworked'!$A$52:$A$57</c:f>
              <c:strCache>
                <c:ptCount val="6"/>
                <c:pt idx="0">
                  <c:v>Working from home / working remotely</c:v>
                </c:pt>
                <c:pt idx="1">
                  <c:v>Flexible hours of work</c:v>
                </c:pt>
                <c:pt idx="2">
                  <c:v>Part-time</c:v>
                </c:pt>
                <c:pt idx="3">
                  <c:v>Compressed work week</c:v>
                </c:pt>
                <c:pt idx="4">
                  <c:v>Job sharing</c:v>
                </c:pt>
                <c:pt idx="5">
                  <c:v>None of the above</c:v>
                </c:pt>
              </c:strCache>
            </c:strRef>
          </c:cat>
          <c:val>
            <c:numRef>
              <c:f>'A4. Carers_v2_reworked'!$B$52:$B$57</c:f>
              <c:numCache>
                <c:formatCode>0%</c:formatCode>
                <c:ptCount val="6"/>
                <c:pt idx="0">
                  <c:v>0.58391412320756231</c:v>
                </c:pt>
                <c:pt idx="1">
                  <c:v>0.32123688215973722</c:v>
                </c:pt>
                <c:pt idx="2">
                  <c:v>0.33709845389730037</c:v>
                </c:pt>
                <c:pt idx="3">
                  <c:v>5.8159096371064652E-2</c:v>
                </c:pt>
                <c:pt idx="4">
                  <c:v>8.010894816951053E-3</c:v>
                </c:pt>
                <c:pt idx="5">
                  <c:v>0.1663862853480734</c:v>
                </c:pt>
              </c:numCache>
            </c:numRef>
          </c:val>
          <c:extLst>
            <c:ext xmlns:c16="http://schemas.microsoft.com/office/drawing/2014/chart" uri="{C3380CC4-5D6E-409C-BE32-E72D297353CC}">
              <c16:uniqueId val="{00000002-B345-4D0E-A849-28CB9F5BD58F}"/>
            </c:ext>
          </c:extLst>
        </c:ser>
        <c:ser>
          <c:idx val="1"/>
          <c:order val="1"/>
          <c:tx>
            <c:strRef>
              <c:f>'A4. Carers_v2_reworked'!$C$51</c:f>
              <c:strCache>
                <c:ptCount val="1"/>
                <c:pt idx="0">
                  <c:v>Child(ren) 5 to 16 years</c:v>
                </c:pt>
              </c:strCache>
            </c:strRef>
          </c:tx>
          <c:spPr>
            <a:solidFill>
              <a:schemeClr val="accent2"/>
            </a:solidFill>
            <a:ln>
              <a:noFill/>
            </a:ln>
            <a:effectLst/>
          </c:spPr>
          <c:invertIfNegative val="0"/>
          <c:dLbls>
            <c:dLbl>
              <c:idx val="0"/>
              <c:layout>
                <c:manualLayout>
                  <c:x val="-1.9636073972646886E-3"/>
                  <c:y val="-3.306695772532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45-4D0E-A849-28CB9F5BD58F}"/>
                </c:ext>
              </c:extLst>
            </c:dLbl>
            <c:dLbl>
              <c:idx val="1"/>
              <c:layout>
                <c:manualLayout>
                  <c:x val="-3.5999053085719291E-17"/>
                  <c:y val="-3.9680349270391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45-4D0E-A849-28CB9F5BD58F}"/>
                </c:ext>
              </c:extLst>
            </c:dLbl>
            <c:dLbl>
              <c:idx val="2"/>
              <c:layout>
                <c:manualLayout>
                  <c:x val="1.1781644383588077E-2"/>
                  <c:y val="-6.06220555186069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45-4D0E-A849-28CB9F5BD5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Carers_v2_reworked'!$A$52:$A$57</c:f>
              <c:strCache>
                <c:ptCount val="6"/>
                <c:pt idx="0">
                  <c:v>Working from home / working remotely</c:v>
                </c:pt>
                <c:pt idx="1">
                  <c:v>Flexible hours of work</c:v>
                </c:pt>
                <c:pt idx="2">
                  <c:v>Part-time</c:v>
                </c:pt>
                <c:pt idx="3">
                  <c:v>Compressed work week</c:v>
                </c:pt>
                <c:pt idx="4">
                  <c:v>Job sharing</c:v>
                </c:pt>
                <c:pt idx="5">
                  <c:v>None of the above</c:v>
                </c:pt>
              </c:strCache>
            </c:strRef>
          </c:cat>
          <c:val>
            <c:numRef>
              <c:f>'A4. Carers_v2_reworked'!$C$52:$C$57</c:f>
              <c:numCache>
                <c:formatCode>0%</c:formatCode>
                <c:ptCount val="6"/>
                <c:pt idx="0">
                  <c:v>0.61123778501628667</c:v>
                </c:pt>
                <c:pt idx="1">
                  <c:v>0.32583061889250814</c:v>
                </c:pt>
                <c:pt idx="2">
                  <c:v>0.23485342019543975</c:v>
                </c:pt>
                <c:pt idx="3">
                  <c:v>3.5765472312703578E-2</c:v>
                </c:pt>
                <c:pt idx="4" formatCode="0.0%">
                  <c:v>4.2671009771986972E-3</c:v>
                </c:pt>
                <c:pt idx="5">
                  <c:v>0.1845928338762215</c:v>
                </c:pt>
              </c:numCache>
            </c:numRef>
          </c:val>
          <c:extLst>
            <c:ext xmlns:c16="http://schemas.microsoft.com/office/drawing/2014/chart" uri="{C3380CC4-5D6E-409C-BE32-E72D297353CC}">
              <c16:uniqueId val="{00000006-B345-4D0E-A849-28CB9F5BD58F}"/>
            </c:ext>
          </c:extLst>
        </c:ser>
        <c:ser>
          <c:idx val="2"/>
          <c:order val="2"/>
          <c:tx>
            <c:strRef>
              <c:f>'A4. Carers_v2_reworked'!$D$51</c:f>
              <c:strCache>
                <c:ptCount val="1"/>
                <c:pt idx="0">
                  <c:v>Parents or others</c:v>
                </c:pt>
              </c:strCache>
            </c:strRef>
          </c:tx>
          <c:spPr>
            <a:solidFill>
              <a:schemeClr val="accent3"/>
            </a:solidFill>
            <a:ln>
              <a:noFill/>
            </a:ln>
            <a:effectLst/>
          </c:spPr>
          <c:invertIfNegative val="0"/>
          <c:dLbls>
            <c:dLbl>
              <c:idx val="0"/>
              <c:layout>
                <c:manualLayout>
                  <c:x val="5.8908221917940385E-3"/>
                  <c:y val="-1.3226783090130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45-4D0E-A849-28CB9F5BD58F}"/>
                </c:ext>
              </c:extLst>
            </c:dLbl>
            <c:dLbl>
              <c:idx val="3"/>
              <c:layout>
                <c:manualLayout>
                  <c:x val="0"/>
                  <c:y val="-2.3146870407728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45-4D0E-A849-28CB9F5BD58F}"/>
                </c:ext>
              </c:extLst>
            </c:dLbl>
            <c:dLbl>
              <c:idx val="4"/>
              <c:layout>
                <c:manualLayout>
                  <c:x val="-1.4399621234287716E-16"/>
                  <c:y val="-3.968034927039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45-4D0E-A849-28CB9F5BD58F}"/>
                </c:ext>
              </c:extLst>
            </c:dLbl>
            <c:dLbl>
              <c:idx val="5"/>
              <c:layout>
                <c:manualLayout>
                  <c:x val="0"/>
                  <c:y val="-2.3146870407728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45-4D0E-A849-28CB9F5BD5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Carers_v2_reworked'!$A$52:$A$57</c:f>
              <c:strCache>
                <c:ptCount val="6"/>
                <c:pt idx="0">
                  <c:v>Working from home / working remotely</c:v>
                </c:pt>
                <c:pt idx="1">
                  <c:v>Flexible hours of work</c:v>
                </c:pt>
                <c:pt idx="2">
                  <c:v>Part-time</c:v>
                </c:pt>
                <c:pt idx="3">
                  <c:v>Compressed work week</c:v>
                </c:pt>
                <c:pt idx="4">
                  <c:v>Job sharing</c:v>
                </c:pt>
                <c:pt idx="5">
                  <c:v>None of the above</c:v>
                </c:pt>
              </c:strCache>
            </c:strRef>
          </c:cat>
          <c:val>
            <c:numRef>
              <c:f>'A4. Carers_v2_reworked'!$D$52:$D$57</c:f>
              <c:numCache>
                <c:formatCode>0%</c:formatCode>
                <c:ptCount val="6"/>
                <c:pt idx="0">
                  <c:v>0.58944632180920198</c:v>
                </c:pt>
                <c:pt idx="1">
                  <c:v>0.30662854172082143</c:v>
                </c:pt>
                <c:pt idx="2">
                  <c:v>0.1586690927995841</c:v>
                </c:pt>
                <c:pt idx="3">
                  <c:v>4.3774369638679492E-2</c:v>
                </c:pt>
                <c:pt idx="4" formatCode="0.0%">
                  <c:v>2.703405250844814E-3</c:v>
                </c:pt>
                <c:pt idx="5">
                  <c:v>0.21450480894203275</c:v>
                </c:pt>
              </c:numCache>
            </c:numRef>
          </c:val>
          <c:extLst>
            <c:ext xmlns:c16="http://schemas.microsoft.com/office/drawing/2014/chart" uri="{C3380CC4-5D6E-409C-BE32-E72D297353CC}">
              <c16:uniqueId val="{0000000B-B345-4D0E-A849-28CB9F5BD58F}"/>
            </c:ext>
          </c:extLst>
        </c:ser>
        <c:ser>
          <c:idx val="3"/>
          <c:order val="3"/>
          <c:tx>
            <c:strRef>
              <c:f>'A4. Carers_v2_reworked'!$E$51</c:f>
              <c:strCache>
                <c:ptCount val="1"/>
                <c:pt idx="0">
                  <c:v>All carers</c:v>
                </c:pt>
              </c:strCache>
            </c:strRef>
          </c:tx>
          <c:spPr>
            <a:solidFill>
              <a:schemeClr val="accent4"/>
            </a:solidFill>
            <a:ln>
              <a:noFill/>
            </a:ln>
            <a:effectLst/>
          </c:spPr>
          <c:invertIfNegative val="0"/>
          <c:dLbls>
            <c:dLbl>
              <c:idx val="0"/>
              <c:layout>
                <c:manualLayout>
                  <c:x val="1.9636073972646793E-2"/>
                  <c:y val="-1.6533478862663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45-4D0E-A849-28CB9F5BD58F}"/>
                </c:ext>
              </c:extLst>
            </c:dLbl>
            <c:dLbl>
              <c:idx val="1"/>
              <c:layout>
                <c:manualLayout>
                  <c:x val="1.3745251780852756E-2"/>
                  <c:y val="-2.3146870407728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45-4D0E-A849-28CB9F5BD5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Carers_v2_reworked'!$A$52:$A$57</c:f>
              <c:strCache>
                <c:ptCount val="6"/>
                <c:pt idx="0">
                  <c:v>Working from home / working remotely</c:v>
                </c:pt>
                <c:pt idx="1">
                  <c:v>Flexible hours of work</c:v>
                </c:pt>
                <c:pt idx="2">
                  <c:v>Part-time</c:v>
                </c:pt>
                <c:pt idx="3">
                  <c:v>Compressed work week</c:v>
                </c:pt>
                <c:pt idx="4">
                  <c:v>Job sharing</c:v>
                </c:pt>
                <c:pt idx="5">
                  <c:v>None of the above</c:v>
                </c:pt>
              </c:strCache>
            </c:strRef>
          </c:cat>
          <c:val>
            <c:numRef>
              <c:f>'A4. Carers_v2_reworked'!$E$52:$E$57</c:f>
              <c:numCache>
                <c:formatCode>###0%</c:formatCode>
                <c:ptCount val="6"/>
                <c:pt idx="0">
                  <c:v>0.59606775108192811</c:v>
                </c:pt>
                <c:pt idx="1">
                  <c:v>0.31103566631845991</c:v>
                </c:pt>
                <c:pt idx="2">
                  <c:v>0.21183405461871363</c:v>
                </c:pt>
                <c:pt idx="3">
                  <c:v>4.2176540814803758E-2</c:v>
                </c:pt>
                <c:pt idx="4">
                  <c:v>4.0292493657663039E-3</c:v>
                </c:pt>
                <c:pt idx="5">
                  <c:v>0.19875764811222205</c:v>
                </c:pt>
              </c:numCache>
            </c:numRef>
          </c:val>
          <c:extLst>
            <c:ext xmlns:c16="http://schemas.microsoft.com/office/drawing/2014/chart" uri="{C3380CC4-5D6E-409C-BE32-E72D297353CC}">
              <c16:uniqueId val="{0000000E-B345-4D0E-A849-28CB9F5BD58F}"/>
            </c:ext>
          </c:extLst>
        </c:ser>
        <c:ser>
          <c:idx val="4"/>
          <c:order val="4"/>
          <c:tx>
            <c:strRef>
              <c:f>'A4. Carers_v2_reworked'!$F$51</c:f>
              <c:strCache>
                <c:ptCount val="1"/>
                <c:pt idx="0">
                  <c:v>Non carer</c:v>
                </c:pt>
              </c:strCache>
            </c:strRef>
          </c:tx>
          <c:spPr>
            <a:solidFill>
              <a:schemeClr val="accent5"/>
            </a:solidFill>
            <a:ln>
              <a:noFill/>
            </a:ln>
            <a:effectLst/>
          </c:spPr>
          <c:invertIfNegative val="0"/>
          <c:dLbls>
            <c:dLbl>
              <c:idx val="0"/>
              <c:layout>
                <c:manualLayout>
                  <c:x val="1.9636073972646793E-2"/>
                  <c:y val="-6.61339154506531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345-4D0E-A849-28CB9F5BD58F}"/>
                </c:ext>
              </c:extLst>
            </c:dLbl>
            <c:dLbl>
              <c:idx val="1"/>
              <c:layout>
                <c:manualLayout>
                  <c:x val="7.85442958905868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345-4D0E-A849-28CB9F5BD58F}"/>
                </c:ext>
              </c:extLst>
            </c:dLbl>
            <c:dLbl>
              <c:idx val="4"/>
              <c:layout>
                <c:manualLayout>
                  <c:x val="1.3745251780852756E-2"/>
                  <c:y val="-6.61339154506531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345-4D0E-A849-28CB9F5BD5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Carers_v2_reworked'!$A$52:$A$57</c:f>
              <c:strCache>
                <c:ptCount val="6"/>
                <c:pt idx="0">
                  <c:v>Working from home / working remotely</c:v>
                </c:pt>
                <c:pt idx="1">
                  <c:v>Flexible hours of work</c:v>
                </c:pt>
                <c:pt idx="2">
                  <c:v>Part-time</c:v>
                </c:pt>
                <c:pt idx="3">
                  <c:v>Compressed work week</c:v>
                </c:pt>
                <c:pt idx="4">
                  <c:v>Job sharing</c:v>
                </c:pt>
                <c:pt idx="5">
                  <c:v>None of the above</c:v>
                </c:pt>
              </c:strCache>
            </c:strRef>
          </c:cat>
          <c:val>
            <c:numRef>
              <c:f>'A4. Carers_v2_reworked'!$F$52:$F$57</c:f>
              <c:numCache>
                <c:formatCode>0%</c:formatCode>
                <c:ptCount val="6"/>
                <c:pt idx="0">
                  <c:v>0.55405273912620412</c:v>
                </c:pt>
                <c:pt idx="1">
                  <c:v>0.25634217879036408</c:v>
                </c:pt>
                <c:pt idx="2">
                  <c:v>8.0304146568620643E-2</c:v>
                </c:pt>
                <c:pt idx="3">
                  <c:v>2.8774378292720223E-2</c:v>
                </c:pt>
                <c:pt idx="4" formatCode="0.0%">
                  <c:v>2.1407025396516493E-3</c:v>
                </c:pt>
                <c:pt idx="5">
                  <c:v>0.2987531102739821</c:v>
                </c:pt>
              </c:numCache>
            </c:numRef>
          </c:val>
          <c:extLst>
            <c:ext xmlns:c16="http://schemas.microsoft.com/office/drawing/2014/chart" uri="{C3380CC4-5D6E-409C-BE32-E72D297353CC}">
              <c16:uniqueId val="{00000012-B345-4D0E-A849-28CB9F5BD58F}"/>
            </c:ext>
          </c:extLst>
        </c:ser>
        <c:dLbls>
          <c:showLegendKey val="0"/>
          <c:showVal val="0"/>
          <c:showCatName val="0"/>
          <c:showSerName val="0"/>
          <c:showPercent val="0"/>
          <c:showBubbleSize val="0"/>
        </c:dLbls>
        <c:gapWidth val="219"/>
        <c:overlap val="-27"/>
        <c:axId val="544429344"/>
        <c:axId val="544432624"/>
      </c:barChart>
      <c:catAx>
        <c:axId val="5444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432624"/>
        <c:crosses val="autoZero"/>
        <c:auto val="1"/>
        <c:lblAlgn val="ctr"/>
        <c:lblOffset val="100"/>
        <c:noMultiLvlLbl val="0"/>
      </c:catAx>
      <c:valAx>
        <c:axId val="544432624"/>
        <c:scaling>
          <c:orientation val="minMax"/>
        </c:scaling>
        <c:delete val="1"/>
        <c:axPos val="l"/>
        <c:numFmt formatCode="0%" sourceLinked="1"/>
        <c:majorTickMark val="none"/>
        <c:minorTickMark val="none"/>
        <c:tickLblPos val="nextTo"/>
        <c:crossAx val="5444293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55788313120176E-2"/>
          <c:y val="0"/>
          <c:w val="0.95148842337375961"/>
          <c:h val="0.82884649218926032"/>
        </c:manualLayout>
      </c:layout>
      <c:lineChart>
        <c:grouping val="standard"/>
        <c:varyColors val="0"/>
        <c:ser>
          <c:idx val="0"/>
          <c:order val="0"/>
          <c:tx>
            <c:strRef>
              <c:f>'A4. Flexible work'!$B$185</c:f>
              <c:strCache>
                <c:ptCount val="1"/>
                <c:pt idx="0">
                  <c:v>Men or Male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work'!$A$186:$A$188</c:f>
              <c:numCache>
                <c:formatCode>General</c:formatCode>
                <c:ptCount val="2"/>
                <c:pt idx="0">
                  <c:v>2021</c:v>
                </c:pt>
                <c:pt idx="1">
                  <c:v>2023</c:v>
                </c:pt>
              </c:numCache>
            </c:numRef>
          </c:cat>
          <c:val>
            <c:numRef>
              <c:f>'A4. Flexible work'!$B$186:$B$188</c:f>
              <c:numCache>
                <c:formatCode>0%</c:formatCode>
                <c:ptCount val="2"/>
                <c:pt idx="0">
                  <c:v>5.8237171617972011E-2</c:v>
                </c:pt>
                <c:pt idx="1">
                  <c:v>5.4202819386961913E-2</c:v>
                </c:pt>
              </c:numCache>
            </c:numRef>
          </c:val>
          <c:smooth val="0"/>
          <c:extLst>
            <c:ext xmlns:c16="http://schemas.microsoft.com/office/drawing/2014/chart" uri="{C3380CC4-5D6E-409C-BE32-E72D297353CC}">
              <c16:uniqueId val="{00000000-82B7-447A-A2F8-BC61866A0E8B}"/>
            </c:ext>
          </c:extLst>
        </c:ser>
        <c:ser>
          <c:idx val="1"/>
          <c:order val="1"/>
          <c:tx>
            <c:strRef>
              <c:f>'A4. Flexible work'!$C$185</c:f>
              <c:strCache>
                <c:ptCount val="1"/>
                <c:pt idx="0">
                  <c:v>Women or Female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work'!$A$186:$A$188</c:f>
              <c:numCache>
                <c:formatCode>General</c:formatCode>
                <c:ptCount val="2"/>
                <c:pt idx="0">
                  <c:v>2021</c:v>
                </c:pt>
                <c:pt idx="1">
                  <c:v>2023</c:v>
                </c:pt>
              </c:numCache>
            </c:numRef>
          </c:cat>
          <c:val>
            <c:numRef>
              <c:f>'A4. Flexible work'!$C$186:$C$188</c:f>
              <c:numCache>
                <c:formatCode>0%</c:formatCode>
                <c:ptCount val="2"/>
                <c:pt idx="0">
                  <c:v>0.20900212051325709</c:v>
                </c:pt>
                <c:pt idx="1">
                  <c:v>0.18847095126622684</c:v>
                </c:pt>
              </c:numCache>
            </c:numRef>
          </c:val>
          <c:smooth val="0"/>
          <c:extLst>
            <c:ext xmlns:c16="http://schemas.microsoft.com/office/drawing/2014/chart" uri="{C3380CC4-5D6E-409C-BE32-E72D297353CC}">
              <c16:uniqueId val="{00000001-82B7-447A-A2F8-BC61866A0E8B}"/>
            </c:ext>
          </c:extLst>
        </c:ser>
        <c:ser>
          <c:idx val="2"/>
          <c:order val="2"/>
          <c:tx>
            <c:strRef>
              <c:f>'A4. Flexible work'!$D$185</c:f>
              <c:strCache>
                <c:ptCount val="1"/>
                <c:pt idx="0">
                  <c:v>Non-binary</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'A4. Flexible work'!$A$186:$A$188</c:f>
              <c:numCache>
                <c:formatCode>General</c:formatCode>
                <c:ptCount val="2"/>
                <c:pt idx="0">
                  <c:v>2021</c:v>
                </c:pt>
                <c:pt idx="1">
                  <c:v>2023</c:v>
                </c:pt>
              </c:numCache>
            </c:numRef>
          </c:cat>
          <c:val>
            <c:numRef>
              <c:f>'A4. Flexible work'!$D$186:$D$188</c:f>
              <c:numCache>
                <c:formatCode>0%</c:formatCode>
                <c:ptCount val="2"/>
                <c:pt idx="0">
                  <c:v>0.14713896457765668</c:v>
                </c:pt>
                <c:pt idx="1">
                  <c:v>0.10865874363327674</c:v>
                </c:pt>
              </c:numCache>
            </c:numRef>
          </c:val>
          <c:smooth val="0"/>
          <c:extLst>
            <c:ext xmlns:c16="http://schemas.microsoft.com/office/drawing/2014/chart" uri="{C3380CC4-5D6E-409C-BE32-E72D297353CC}">
              <c16:uniqueId val="{00000002-82B7-447A-A2F8-BC61866A0E8B}"/>
            </c:ext>
          </c:extLst>
        </c:ser>
        <c:dLbls>
          <c:dLblPos val="ctr"/>
          <c:showLegendKey val="0"/>
          <c:showVal val="1"/>
          <c:showCatName val="0"/>
          <c:showSerName val="0"/>
          <c:showPercent val="0"/>
          <c:showBubbleSize val="0"/>
        </c:dLbls>
        <c:marker val="1"/>
        <c:smooth val="0"/>
        <c:axId val="544428360"/>
        <c:axId val="544430328"/>
      </c:lineChart>
      <c:catAx>
        <c:axId val="54442836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544430328"/>
        <c:crosses val="autoZero"/>
        <c:auto val="1"/>
        <c:lblAlgn val="ctr"/>
        <c:lblOffset val="100"/>
        <c:noMultiLvlLbl val="0"/>
      </c:catAx>
      <c:valAx>
        <c:axId val="544430328"/>
        <c:scaling>
          <c:orientation val="minMax"/>
        </c:scaling>
        <c:delete val="1"/>
        <c:axPos val="l"/>
        <c:numFmt formatCode="0%" sourceLinked="1"/>
        <c:majorTickMark val="none"/>
        <c:minorTickMark val="none"/>
        <c:tickLblPos val="nextTo"/>
        <c:crossAx val="544428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'A4. Carers_v2_reworked'!$A$5</c:f>
              <c:strCache>
                <c:ptCount val="1"/>
                <c:pt idx="0">
                  <c:v>Man or 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Carers_v2_reworked'!$B$4:$E$4</c:f>
              <c:strCache>
                <c:ptCount val="4"/>
                <c:pt idx="0">
                  <c:v>Child(ren)-under 5 years</c:v>
                </c:pt>
                <c:pt idx="1">
                  <c:v>Child(ren)-5 to 16 years</c:v>
                </c:pt>
                <c:pt idx="2">
                  <c:v>Parents or others</c:v>
                </c:pt>
                <c:pt idx="3">
                  <c:v>No caring responsibilities</c:v>
                </c:pt>
              </c:strCache>
            </c:strRef>
          </c:cat>
          <c:val>
            <c:numRef>
              <c:f>'A4. Carers_v2_reworked'!$B$5:$E$5</c:f>
              <c:numCache>
                <c:formatCode>0%</c:formatCode>
                <c:ptCount val="4"/>
                <c:pt idx="0">
                  <c:v>9.5325576648295565E-2</c:v>
                </c:pt>
                <c:pt idx="1">
                  <c:v>6.9466882067851371E-2</c:v>
                </c:pt>
                <c:pt idx="2">
                  <c:v>5.7845130290149697E-2</c:v>
                </c:pt>
                <c:pt idx="3">
                  <c:v>4.5678683281135467E-2</c:v>
                </c:pt>
              </c:numCache>
            </c:numRef>
          </c:val>
          <c:extLst>
            <c:ext xmlns:c16="http://schemas.microsoft.com/office/drawing/2014/chart" uri="{C3380CC4-5D6E-409C-BE32-E72D297353CC}">
              <c16:uniqueId val="{00000000-AE44-4F92-A2E6-FB16066F0928}"/>
            </c:ext>
          </c:extLst>
        </c:ser>
        <c:ser>
          <c:idx val="1"/>
          <c:order val="1"/>
          <c:tx>
            <c:strRef>
              <c:f>'A4. Carers_v2_reworked'!$A$6</c:f>
              <c:strCache>
                <c:ptCount val="1"/>
                <c:pt idx="0">
                  <c:v>Woman or 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Carers_v2_reworked'!$B$4:$E$4</c:f>
              <c:strCache>
                <c:ptCount val="4"/>
                <c:pt idx="0">
                  <c:v>Child(ren)-under 5 years</c:v>
                </c:pt>
                <c:pt idx="1">
                  <c:v>Child(ren)-5 to 16 years</c:v>
                </c:pt>
                <c:pt idx="2">
                  <c:v>Parents or others</c:v>
                </c:pt>
                <c:pt idx="3">
                  <c:v>No caring responsibilities</c:v>
                </c:pt>
              </c:strCache>
            </c:strRef>
          </c:cat>
          <c:val>
            <c:numRef>
              <c:f>'A4. Carers_v2_reworked'!$B$6:$E$6</c:f>
              <c:numCache>
                <c:formatCode>0%</c:formatCode>
                <c:ptCount val="4"/>
                <c:pt idx="0">
                  <c:v>0.4987741759738491</c:v>
                </c:pt>
                <c:pt idx="1">
                  <c:v>0.31624869122999449</c:v>
                </c:pt>
                <c:pt idx="2">
                  <c:v>0.20234875994746196</c:v>
                </c:pt>
                <c:pt idx="3">
                  <c:v>0.10582684242061115</c:v>
                </c:pt>
              </c:numCache>
            </c:numRef>
          </c:val>
          <c:extLst>
            <c:ext xmlns:c16="http://schemas.microsoft.com/office/drawing/2014/chart" uri="{C3380CC4-5D6E-409C-BE32-E72D297353CC}">
              <c16:uniqueId val="{00000001-AE44-4F92-A2E6-FB16066F0928}"/>
            </c:ext>
          </c:extLst>
        </c:ser>
        <c:ser>
          <c:idx val="2"/>
          <c:order val="2"/>
          <c:tx>
            <c:strRef>
              <c:f>'A4. Carers_v2_reworked'!$A$7</c:f>
              <c:strCache>
                <c:ptCount val="1"/>
                <c:pt idx="0">
                  <c:v>Non-binary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Carers_v2_reworked'!$B$4:$E$4</c:f>
              <c:strCache>
                <c:ptCount val="4"/>
                <c:pt idx="0">
                  <c:v>Child(ren)-under 5 years</c:v>
                </c:pt>
                <c:pt idx="1">
                  <c:v>Child(ren)-5 to 16 years</c:v>
                </c:pt>
                <c:pt idx="2">
                  <c:v>Parents or others</c:v>
                </c:pt>
                <c:pt idx="3">
                  <c:v>No caring responsibilities</c:v>
                </c:pt>
              </c:strCache>
            </c:strRef>
          </c:cat>
          <c:val>
            <c:numRef>
              <c:f>'A4. Carers_v2_reworked'!$B$7:$E$7</c:f>
              <c:numCache>
                <c:formatCode>0%</c:formatCode>
                <c:ptCount val="4"/>
                <c:pt idx="0">
                  <c:v>0.40740740740740738</c:v>
                </c:pt>
                <c:pt idx="1">
                  <c:v>0.21276595744680851</c:v>
                </c:pt>
                <c:pt idx="2">
                  <c:v>0.13186813186813187</c:v>
                </c:pt>
                <c:pt idx="3">
                  <c:v>9.4252873563218389E-2</c:v>
                </c:pt>
              </c:numCache>
            </c:numRef>
          </c:val>
          <c:extLst>
            <c:ext xmlns:c16="http://schemas.microsoft.com/office/drawing/2014/chart" uri="{C3380CC4-5D6E-409C-BE32-E72D297353CC}">
              <c16:uniqueId val="{00000002-AE44-4F92-A2E6-FB16066F0928}"/>
            </c:ext>
          </c:extLst>
        </c:ser>
        <c:ser>
          <c:idx val="3"/>
          <c:order val="3"/>
          <c:tx>
            <c:strRef>
              <c:f>'A4. Carers_v2_reworked'!$A$8</c:f>
              <c:strCache>
                <c:ptCount val="1"/>
                <c:pt idx="0">
                  <c:v>I use a different term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'A4. Carers_v2_reworked'!$B$4:$E$4</c:f>
              <c:strCache>
                <c:ptCount val="4"/>
                <c:pt idx="0">
                  <c:v>Child(ren)-under 5 years</c:v>
                </c:pt>
                <c:pt idx="1">
                  <c:v>Child(ren)-5 to 16 years</c:v>
                </c:pt>
                <c:pt idx="2">
                  <c:v>Parents or others</c:v>
                </c:pt>
                <c:pt idx="3">
                  <c:v>No caring responsibilities</c:v>
                </c:pt>
              </c:strCache>
            </c:strRef>
          </c:cat>
          <c:val>
            <c:numRef>
              <c:f>'A4. Carers_v2_reworked'!$B$8:$E$8</c:f>
              <c:numCache>
                <c:formatCode>0%</c:formatCode>
                <c:ptCount val="4"/>
                <c:pt idx="0">
                  <c:v>0.11764705882352941</c:v>
                </c:pt>
                <c:pt idx="1">
                  <c:v>0.2857142857142857</c:v>
                </c:pt>
                <c:pt idx="2">
                  <c:v>0.10909090909090909</c:v>
                </c:pt>
                <c:pt idx="3">
                  <c:v>0.11904761904761904</c:v>
                </c:pt>
              </c:numCache>
            </c:numRef>
          </c:val>
          <c:extLst>
            <c:ext xmlns:c16="http://schemas.microsoft.com/office/drawing/2014/chart" uri="{C3380CC4-5D6E-409C-BE32-E72D297353CC}">
              <c16:uniqueId val="{00000003-AE44-4F92-A2E6-FB16066F0928}"/>
            </c:ext>
          </c:extLst>
        </c:ser>
        <c:dLbls>
          <c:showLegendKey val="0"/>
          <c:showVal val="0"/>
          <c:showCatName val="0"/>
          <c:showSerName val="0"/>
          <c:showPercent val="0"/>
          <c:showBubbleSize val="0"/>
        </c:dLbls>
        <c:gapWidth val="219"/>
        <c:overlap val="-27"/>
        <c:axId val="688208328"/>
        <c:axId val="688205376"/>
      </c:barChart>
      <c:catAx>
        <c:axId val="68820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205376"/>
        <c:crosses val="autoZero"/>
        <c:auto val="1"/>
        <c:lblAlgn val="ctr"/>
        <c:lblOffset val="100"/>
        <c:noMultiLvlLbl val="0"/>
      </c:catAx>
      <c:valAx>
        <c:axId val="688205376"/>
        <c:scaling>
          <c:orientation val="minMax"/>
        </c:scaling>
        <c:delete val="1"/>
        <c:axPos val="l"/>
        <c:numFmt formatCode="0%" sourceLinked="1"/>
        <c:majorTickMark val="none"/>
        <c:minorTickMark val="none"/>
        <c:tickLblPos val="nextTo"/>
        <c:crossAx val="688208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'GES - Implementation'!$AB$8</c:f>
              <c:strCache>
                <c:ptCount val="1"/>
                <c:pt idx="0">
                  <c:v>Entry Level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'GES - Implementation'!$AC$7:$AE$7</c:f>
              <c:numCache>
                <c:formatCode>General</c:formatCode>
                <c:ptCount val="3"/>
                <c:pt idx="0">
                  <c:v>2023</c:v>
                </c:pt>
                <c:pt idx="1">
                  <c:v>2022</c:v>
                </c:pt>
                <c:pt idx="2">
                  <c:v>2021</c:v>
                </c:pt>
              </c:numCache>
            </c:numRef>
          </c:cat>
          <c:val>
            <c:numRef>
              <c:f>'GES - Implementation'!$AC$8:$AE$8</c:f>
              <c:numCache>
                <c:formatCode>0%</c:formatCode>
                <c:ptCount val="3"/>
                <c:pt idx="0">
                  <c:v>0.14000000000000001</c:v>
                </c:pt>
                <c:pt idx="1">
                  <c:v>0.21</c:v>
                </c:pt>
                <c:pt idx="2">
                  <c:v>0.32</c:v>
                </c:pt>
              </c:numCache>
            </c:numRef>
          </c:val>
          <c:extLst>
            <c:ext xmlns:c16="http://schemas.microsoft.com/office/drawing/2014/chart" uri="{C3380CC4-5D6E-409C-BE32-E72D297353CC}">
              <c16:uniqueId val="{00000000-2F7B-4288-8DD7-409FC984F256}"/>
            </c:ext>
          </c:extLst>
        </c:ser>
        <c:ser>
          <c:idx val="1"/>
          <c:order val="1"/>
          <c:tx>
            <c:strRef>
              <c:f>'GES - Implementation'!$AB$9</c:f>
              <c:strCache>
                <c:ptCount val="1"/>
                <c:pt idx="0">
                  <c:v>Emerging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'GES - Implementation'!$AC$7:$AE$7</c:f>
              <c:numCache>
                <c:formatCode>General</c:formatCode>
                <c:ptCount val="3"/>
                <c:pt idx="0">
                  <c:v>2023</c:v>
                </c:pt>
                <c:pt idx="1">
                  <c:v>2022</c:v>
                </c:pt>
                <c:pt idx="2">
                  <c:v>2021</c:v>
                </c:pt>
              </c:numCache>
            </c:numRef>
          </c:cat>
          <c:val>
            <c:numRef>
              <c:f>'GES - Implementation'!$AC$9:$AE$9</c:f>
              <c:numCache>
                <c:formatCode>0%</c:formatCode>
                <c:ptCount val="3"/>
                <c:pt idx="0">
                  <c:v>0.05</c:v>
                </c:pt>
                <c:pt idx="1">
                  <c:v>0.14000000000000001</c:v>
                </c:pt>
                <c:pt idx="2">
                  <c:v>0.16</c:v>
                </c:pt>
              </c:numCache>
            </c:numRef>
          </c:val>
          <c:extLst>
            <c:ext xmlns:c16="http://schemas.microsoft.com/office/drawing/2014/chart" uri="{C3380CC4-5D6E-409C-BE32-E72D297353CC}">
              <c16:uniqueId val="{00000001-2F7B-4288-8DD7-409FC984F256}"/>
            </c:ext>
          </c:extLst>
        </c:ser>
        <c:ser>
          <c:idx val="2"/>
          <c:order val="2"/>
          <c:tx>
            <c:strRef>
              <c:f>'GES - Implementation'!$AB$10</c:f>
              <c:strCache>
                <c:ptCount val="1"/>
                <c:pt idx="0">
                  <c:v>Establishing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'GES - Implementation'!$AC$7:$AE$7</c:f>
              <c:numCache>
                <c:formatCode>General</c:formatCode>
                <c:ptCount val="3"/>
                <c:pt idx="0">
                  <c:v>2023</c:v>
                </c:pt>
                <c:pt idx="1">
                  <c:v>2022</c:v>
                </c:pt>
                <c:pt idx="2">
                  <c:v>2021</c:v>
                </c:pt>
              </c:numCache>
            </c:numRef>
          </c:cat>
          <c:val>
            <c:numRef>
              <c:f>'GES - Implementation'!$AC$10:$AE$10</c:f>
              <c:numCache>
                <c:formatCode>0%</c:formatCode>
                <c:ptCount val="3"/>
                <c:pt idx="0">
                  <c:v>0.53</c:v>
                </c:pt>
                <c:pt idx="1">
                  <c:v>0.36</c:v>
                </c:pt>
                <c:pt idx="2">
                  <c:v>0.33</c:v>
                </c:pt>
              </c:numCache>
            </c:numRef>
          </c:val>
          <c:extLst>
            <c:ext xmlns:c16="http://schemas.microsoft.com/office/drawing/2014/chart" uri="{C3380CC4-5D6E-409C-BE32-E72D297353CC}">
              <c16:uniqueId val="{00000002-2F7B-4288-8DD7-409FC984F256}"/>
            </c:ext>
          </c:extLst>
        </c:ser>
        <c:ser>
          <c:idx val="3"/>
          <c:order val="3"/>
          <c:tx>
            <c:strRef>
              <c:f>'GES - Implementation'!$AB$11</c:f>
              <c:strCache>
                <c:ptCount val="1"/>
                <c:pt idx="0">
                  <c:v>Embedding</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'GES - Implementation'!$AC$7:$AE$7</c:f>
              <c:numCache>
                <c:formatCode>General</c:formatCode>
                <c:ptCount val="3"/>
                <c:pt idx="0">
                  <c:v>2023</c:v>
                </c:pt>
                <c:pt idx="1">
                  <c:v>2022</c:v>
                </c:pt>
                <c:pt idx="2">
                  <c:v>2021</c:v>
                </c:pt>
              </c:numCache>
            </c:numRef>
          </c:cat>
          <c:val>
            <c:numRef>
              <c:f>'GES - Implementation'!$AC$11:$AE$11</c:f>
              <c:numCache>
                <c:formatCode>0%</c:formatCode>
                <c:ptCount val="3"/>
                <c:pt idx="0">
                  <c:v>0.25</c:v>
                </c:pt>
                <c:pt idx="1">
                  <c:v>0.27</c:v>
                </c:pt>
                <c:pt idx="2">
                  <c:v>0.16</c:v>
                </c:pt>
              </c:numCache>
            </c:numRef>
          </c:val>
          <c:extLst>
            <c:ext xmlns:c16="http://schemas.microsoft.com/office/drawing/2014/chart" uri="{C3380CC4-5D6E-409C-BE32-E72D297353CC}">
              <c16:uniqueId val="{00000003-2F7B-4288-8DD7-409FC984F256}"/>
            </c:ext>
          </c:extLst>
        </c:ser>
        <c:ser>
          <c:idx val="4"/>
          <c:order val="4"/>
          <c:tx>
            <c:strRef>
              <c:f>'GES - Implementation'!$AB$12</c:f>
              <c:strCache>
                <c:ptCount val="1"/>
                <c:pt idx="0">
                  <c:v>Educator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'GES - Implementation'!$AC$7:$AE$7</c:f>
              <c:numCache>
                <c:formatCode>General</c:formatCode>
                <c:ptCount val="3"/>
                <c:pt idx="0">
                  <c:v>2023</c:v>
                </c:pt>
                <c:pt idx="1">
                  <c:v>2022</c:v>
                </c:pt>
                <c:pt idx="2">
                  <c:v>2021</c:v>
                </c:pt>
              </c:numCache>
            </c:numRef>
          </c:cat>
          <c:val>
            <c:numRef>
              <c:f>'GES - Implementation'!$AC$12:$AE$12</c:f>
              <c:numCache>
                <c:formatCode>0%</c:formatCode>
                <c:ptCount val="3"/>
                <c:pt idx="0">
                  <c:v>0.03</c:v>
                </c:pt>
                <c:pt idx="1">
                  <c:v>0.02</c:v>
                </c:pt>
                <c:pt idx="2">
                  <c:v>0.04</c:v>
                </c:pt>
              </c:numCache>
            </c:numRef>
          </c:val>
          <c:extLst>
            <c:ext xmlns:c16="http://schemas.microsoft.com/office/drawing/2014/chart" uri="{C3380CC4-5D6E-409C-BE32-E72D297353CC}">
              <c16:uniqueId val="{00000004-2F7B-4288-8DD7-409FC984F256}"/>
            </c:ext>
          </c:extLst>
        </c:ser>
        <c:dLbls>
          <c:showLegendKey val="0"/>
          <c:showVal val="0"/>
          <c:showCatName val="0"/>
          <c:showSerName val="0"/>
          <c:showPercent val="0"/>
          <c:showBubbleSize val="0"/>
        </c:dLbls>
        <c:gapWidth val="150"/>
        <c:overlap val="100"/>
        <c:axId val="448259512"/>
        <c:axId val="448260496"/>
      </c:barChart>
      <c:catAx>
        <c:axId val="44825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260496"/>
        <c:crosses val="autoZero"/>
        <c:auto val="1"/>
        <c:lblAlgn val="ctr"/>
        <c:lblOffset val="100"/>
        <c:noMultiLvlLbl val="0"/>
      </c:catAx>
      <c:valAx>
        <c:axId val="448260496"/>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25951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91506228765572E-2"/>
          <c:y val="6.1604402484269564E-2"/>
          <c:w val="0.95016987542468856"/>
          <c:h val="0.7578289128820082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'Q30 Job sharing'!$O$4:$O$8</c:f>
              <c:strCache>
                <c:ptCount val="5"/>
                <c:pt idx="0">
                  <c:v>All full-time, part-time &amp; job share</c:v>
                </c:pt>
                <c:pt idx="1">
                  <c:v>All full-time &amp; part-time (some or none incl. job share)</c:v>
                </c:pt>
                <c:pt idx="2">
                  <c:v>Some full-time, part-time &amp; job share</c:v>
                </c:pt>
                <c:pt idx="3">
                  <c:v>Some full-time &amp; part-time (none incl. job share)</c:v>
                </c:pt>
                <c:pt idx="4">
                  <c:v>Only full-time positions</c:v>
                </c:pt>
              </c:strCache>
            </c:strRef>
          </c:cat>
          <c:val>
            <c:numRef>
              <c:f>'Q30 Job sharing'!$P$4:$P$8</c:f>
              <c:numCache>
                <c:formatCode>###0%</c:formatCode>
                <c:ptCount val="5"/>
                <c:pt idx="0">
                  <c:v>5.3763440860215048E-2</c:v>
                </c:pt>
                <c:pt idx="1">
                  <c:v>0.20430107526881719</c:v>
                </c:pt>
                <c:pt idx="2">
                  <c:v>0.23655913978494625</c:v>
                </c:pt>
                <c:pt idx="3">
                  <c:v>0.4946236559139785</c:v>
                </c:pt>
                <c:pt idx="4">
                  <c:v>1.0752688172043012E-2</c:v>
                </c:pt>
              </c:numCache>
            </c:numRef>
          </c:val>
          <c:extLst>
            <c:ext xmlns:c16="http://schemas.microsoft.com/office/drawing/2014/chart" uri="{C3380CC4-5D6E-409C-BE32-E72D297353CC}">
              <c16:uniqueId val="{00000000-4BE7-4FF0-B743-10CC43DC6BA7}"/>
            </c:ext>
          </c:extLst>
        </c:ser>
        <c:dLbls>
          <c:showLegendKey val="0"/>
          <c:showVal val="0"/>
          <c:showCatName val="0"/>
          <c:showSerName val="0"/>
          <c:showPercent val="0"/>
          <c:showBubbleSize val="0"/>
        </c:dLbls>
        <c:gapWidth val="219"/>
        <c:overlap val="-27"/>
        <c:axId val="539866632"/>
        <c:axId val="539866960"/>
      </c:barChart>
      <c:catAx>
        <c:axId val="53986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866960"/>
        <c:crosses val="autoZero"/>
        <c:auto val="1"/>
        <c:lblAlgn val="ctr"/>
        <c:lblOffset val="100"/>
        <c:noMultiLvlLbl val="0"/>
      </c:catAx>
      <c:valAx>
        <c:axId val="539866960"/>
        <c:scaling>
          <c:orientation val="minMax"/>
        </c:scaling>
        <c:delete val="1"/>
        <c:axPos val="l"/>
        <c:numFmt formatCode="###0%" sourceLinked="1"/>
        <c:majorTickMark val="none"/>
        <c:minorTickMark val="none"/>
        <c:tickLblPos val="nextTo"/>
        <c:crossAx val="539866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'A5. Q32,Q33&amp;Q34 Employee data'!$C$38</c:f>
              <c:strCache>
                <c:ptCount val="1"/>
                <c:pt idx="0">
                  <c:v>Publish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'A5. Q32,Q33&amp;Q34 Employee data'!$B$39:$B$42</c:f>
              <c:strCache>
                <c:ptCount val="4"/>
                <c:pt idx="0">
                  <c:v>Other</c:v>
                </c:pt>
                <c:pt idx="1">
                  <c:v>Culturally and linguistically diverse (CALD) representation</c:v>
                </c:pt>
                <c:pt idx="2">
                  <c:v>Employees with disability</c:v>
                </c:pt>
                <c:pt idx="3">
                  <c:v>First Nations representation</c:v>
                </c:pt>
              </c:strCache>
            </c:strRef>
          </c:cat>
          <c:val>
            <c:numRef>
              <c:f>'A5. Q32,Q33&amp;Q34 Employee data'!$C$39:$C$42</c:f>
              <c:numCache>
                <c:formatCode>0%</c:formatCode>
                <c:ptCount val="4"/>
                <c:pt idx="0" formatCode="###0%">
                  <c:v>0.38709677419354838</c:v>
                </c:pt>
                <c:pt idx="1">
                  <c:v>0.58064516129032262</c:v>
                </c:pt>
                <c:pt idx="2">
                  <c:v>0.58064516129032262</c:v>
                </c:pt>
                <c:pt idx="3">
                  <c:v>0.60215053763440862</c:v>
                </c:pt>
              </c:numCache>
            </c:numRef>
          </c:val>
          <c:extLst>
            <c:ext xmlns:c16="http://schemas.microsoft.com/office/drawing/2014/chart" uri="{C3380CC4-5D6E-409C-BE32-E72D297353CC}">
              <c16:uniqueId val="{00000000-1D90-4FDC-8C12-1199B5CB03EA}"/>
            </c:ext>
          </c:extLst>
        </c:ser>
        <c:ser>
          <c:idx val="1"/>
          <c:order val="1"/>
          <c:tx>
            <c:strRef>
              <c:f>'A5. Q32,Q33&amp;Q34 Employee data'!$D$38</c:f>
              <c:strCache>
                <c:ptCount val="1"/>
                <c:pt idx="0">
                  <c:v>Collect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'A5. Q32,Q33&amp;Q34 Employee data'!$B$39:$B$42</c:f>
              <c:strCache>
                <c:ptCount val="4"/>
                <c:pt idx="0">
                  <c:v>Other</c:v>
                </c:pt>
                <c:pt idx="1">
                  <c:v>Culturally and linguistically diverse (CALD) representation</c:v>
                </c:pt>
                <c:pt idx="2">
                  <c:v>Employees with disability</c:v>
                </c:pt>
                <c:pt idx="3">
                  <c:v>First Nations representation</c:v>
                </c:pt>
              </c:strCache>
            </c:strRef>
          </c:cat>
          <c:val>
            <c:numRef>
              <c:f>'A5. Q32,Q33&amp;Q34 Employee data'!$D$39:$D$42</c:f>
              <c:numCache>
                <c:formatCode>0%</c:formatCode>
                <c:ptCount val="4"/>
                <c:pt idx="0" formatCode="###0%">
                  <c:v>0.5053763440860215</c:v>
                </c:pt>
                <c:pt idx="1">
                  <c:v>0.90322580645161277</c:v>
                </c:pt>
                <c:pt idx="2">
                  <c:v>0.92473118279569888</c:v>
                </c:pt>
                <c:pt idx="3">
                  <c:v>0.93548387096774188</c:v>
                </c:pt>
              </c:numCache>
            </c:numRef>
          </c:val>
          <c:extLst>
            <c:ext xmlns:c16="http://schemas.microsoft.com/office/drawing/2014/chart" uri="{C3380CC4-5D6E-409C-BE32-E72D297353CC}">
              <c16:uniqueId val="{00000001-1D90-4FDC-8C12-1199B5CB03EA}"/>
            </c:ext>
          </c:extLst>
        </c:ser>
        <c:dLbls>
          <c:showLegendKey val="0"/>
          <c:showVal val="0"/>
          <c:showCatName val="0"/>
          <c:showSerName val="0"/>
          <c:showPercent val="0"/>
          <c:showBubbleSize val="0"/>
        </c:dLbls>
        <c:gapWidth val="182"/>
        <c:axId val="478436744"/>
        <c:axId val="478431168"/>
      </c:barChart>
      <c:catAx>
        <c:axId val="47843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78431168"/>
        <c:crosses val="autoZero"/>
        <c:auto val="1"/>
        <c:lblAlgn val="ctr"/>
        <c:lblOffset val="100"/>
        <c:noMultiLvlLbl val="0"/>
      </c:catAx>
      <c:valAx>
        <c:axId val="478431168"/>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solidFill>
                      <a:schemeClr val="tx1">
                        <a:lumMod val="65000"/>
                        <a:lumOff val="35000"/>
                      </a:schemeClr>
                    </a:solidFill>
                  </a:rPr>
                  <a:t>% of agencies</a:t>
                </a:r>
              </a:p>
            </c:rich>
          </c:tx>
          <c:layout>
            <c:manualLayout>
              <c:xMode val="edge"/>
              <c:yMode val="edge"/>
              <c:x val="0.43199055465365616"/>
              <c:y val="0.8164869728406646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47843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507715812217"/>
          <c:y val="2.7060270602706028E-2"/>
          <c:w val="0.86750062528062288"/>
          <c:h val="0.88960610550987396"/>
        </c:manualLayout>
      </c:layout>
      <c:barChart>
        <c:barDir val="bar"/>
        <c:grouping val="clustered"/>
        <c:varyColors val="0"/>
        <c:ser>
          <c:idx val="1"/>
          <c:order val="0"/>
          <c:tx>
            <c:strRef>
              <c:f>'A5. Tornado-WomenMen by Level'!$P$2</c:f>
              <c:strCache>
                <c:ptCount val="1"/>
                <c:pt idx="0">
                  <c:v>Women</c:v>
                </c:pt>
              </c:strCache>
            </c:strRef>
          </c:tx>
          <c:spPr>
            <a:solidFill>
              <a:schemeClr val="accent2"/>
            </a:solidFill>
            <a:ln>
              <a:solidFill>
                <a:schemeClr val="accent2"/>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'A5. Tornado-WomenMen by Level'!$O$3:$O$15</c:f>
              <c:strCache>
                <c:ptCount val="13"/>
                <c:pt idx="0">
                  <c:v>Trainee</c:v>
                </c:pt>
                <c:pt idx="1">
                  <c:v>Graduate</c:v>
                </c:pt>
                <c:pt idx="2">
                  <c:v>APS 1</c:v>
                </c:pt>
                <c:pt idx="3">
                  <c:v>APS 2</c:v>
                </c:pt>
                <c:pt idx="4">
                  <c:v>APS 3</c:v>
                </c:pt>
                <c:pt idx="5">
                  <c:v>APS 4</c:v>
                </c:pt>
                <c:pt idx="6">
                  <c:v>APS 5</c:v>
                </c:pt>
                <c:pt idx="7">
                  <c:v>APS 6</c:v>
                </c:pt>
                <c:pt idx="8">
                  <c:v>EL 1</c:v>
                </c:pt>
                <c:pt idx="9">
                  <c:v>EL 2</c:v>
                </c:pt>
                <c:pt idx="10">
                  <c:v>SES 1</c:v>
                </c:pt>
                <c:pt idx="11">
                  <c:v>SES 2</c:v>
                </c:pt>
                <c:pt idx="12">
                  <c:v>SES 3</c:v>
                </c:pt>
              </c:strCache>
            </c:strRef>
          </c:cat>
          <c:val>
            <c:numRef>
              <c:f>'A5. Tornado-WomenMen by Level'!$P$3:$P$15</c:f>
              <c:numCache>
                <c:formatCode>0%</c:formatCode>
                <c:ptCount val="13"/>
                <c:pt idx="0">
                  <c:v>-0.46049382716049381</c:v>
                </c:pt>
                <c:pt idx="1">
                  <c:v>-0.41636230825420012</c:v>
                </c:pt>
                <c:pt idx="2">
                  <c:v>-0.71321270058040287</c:v>
                </c:pt>
                <c:pt idx="3">
                  <c:v>-0.55735093309057804</c:v>
                </c:pt>
                <c:pt idx="4">
                  <c:v>-0.62219535133682657</c:v>
                </c:pt>
                <c:pt idx="5">
                  <c:v>-0.66854316488236631</c:v>
                </c:pt>
                <c:pt idx="6">
                  <c:v>-0.6295244025842609</c:v>
                </c:pt>
                <c:pt idx="7">
                  <c:v>-0.60456625450296952</c:v>
                </c:pt>
                <c:pt idx="8">
                  <c:v>-0.56818057305648384</c:v>
                </c:pt>
                <c:pt idx="9">
                  <c:v>-0.52824301088963888</c:v>
                </c:pt>
                <c:pt idx="10">
                  <c:v>-0.55546591367486886</c:v>
                </c:pt>
                <c:pt idx="11">
                  <c:v>-0.50720461095100866</c:v>
                </c:pt>
                <c:pt idx="12">
                  <c:v>-0.49079754601226994</c:v>
                </c:pt>
              </c:numCache>
            </c:numRef>
          </c:val>
          <c:extLst>
            <c:ext xmlns:c16="http://schemas.microsoft.com/office/drawing/2014/chart" uri="{C3380CC4-5D6E-409C-BE32-E72D297353CC}">
              <c16:uniqueId val="{00000000-51BF-40EE-8F9F-467BC85FC926}"/>
            </c:ext>
          </c:extLst>
        </c:ser>
        <c:ser>
          <c:idx val="0"/>
          <c:order val="1"/>
          <c:tx>
            <c:strRef>
              <c:f>'A5. Tornado-WomenMen by Level'!$Q$2</c:f>
              <c:strCache>
                <c:ptCount val="1"/>
                <c:pt idx="0">
                  <c:v>Men</c:v>
                </c:pt>
              </c:strCache>
            </c:strRef>
          </c:tx>
          <c:spPr>
            <a:solidFill>
              <a:schemeClr val="accent1"/>
            </a:solidFill>
            <a:ln>
              <a:solidFill>
                <a:schemeClr val="accent1"/>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'A5. Tornado-WomenMen by Level'!$O$3:$O$15</c:f>
              <c:strCache>
                <c:ptCount val="13"/>
                <c:pt idx="0">
                  <c:v>Trainee</c:v>
                </c:pt>
                <c:pt idx="1">
                  <c:v>Graduate</c:v>
                </c:pt>
                <c:pt idx="2">
                  <c:v>APS 1</c:v>
                </c:pt>
                <c:pt idx="3">
                  <c:v>APS 2</c:v>
                </c:pt>
                <c:pt idx="4">
                  <c:v>APS 3</c:v>
                </c:pt>
                <c:pt idx="5">
                  <c:v>APS 4</c:v>
                </c:pt>
                <c:pt idx="6">
                  <c:v>APS 5</c:v>
                </c:pt>
                <c:pt idx="7">
                  <c:v>APS 6</c:v>
                </c:pt>
                <c:pt idx="8">
                  <c:v>EL 1</c:v>
                </c:pt>
                <c:pt idx="9">
                  <c:v>EL 2</c:v>
                </c:pt>
                <c:pt idx="10">
                  <c:v>SES 1</c:v>
                </c:pt>
                <c:pt idx="11">
                  <c:v>SES 2</c:v>
                </c:pt>
                <c:pt idx="12">
                  <c:v>SES 3</c:v>
                </c:pt>
              </c:strCache>
            </c:strRef>
          </c:cat>
          <c:val>
            <c:numRef>
              <c:f>'A5. Tornado-WomenMen by Level'!$Q$3:$Q$15</c:f>
              <c:numCache>
                <c:formatCode>0%</c:formatCode>
                <c:ptCount val="13"/>
                <c:pt idx="0">
                  <c:v>0.52716049382716046</c:v>
                </c:pt>
                <c:pt idx="1">
                  <c:v>0.57779401022644261</c:v>
                </c:pt>
                <c:pt idx="2">
                  <c:v>0.28303175145100717</c:v>
                </c:pt>
                <c:pt idx="3">
                  <c:v>0.43741465634956761</c:v>
                </c:pt>
                <c:pt idx="4">
                  <c:v>0.3650409781002284</c:v>
                </c:pt>
                <c:pt idx="5">
                  <c:v>0.32546939572418732</c:v>
                </c:pt>
                <c:pt idx="6">
                  <c:v>0.36697283412469839</c:v>
                </c:pt>
                <c:pt idx="7">
                  <c:v>0.39278064453315159</c:v>
                </c:pt>
                <c:pt idx="8">
                  <c:v>0.43055936010518819</c:v>
                </c:pt>
                <c:pt idx="9">
                  <c:v>0.47080175762593135</c:v>
                </c:pt>
                <c:pt idx="10">
                  <c:v>0.44251714400968134</c:v>
                </c:pt>
                <c:pt idx="11">
                  <c:v>0.48847262247838619</c:v>
                </c:pt>
                <c:pt idx="12">
                  <c:v>0.50306748466257667</c:v>
                </c:pt>
              </c:numCache>
            </c:numRef>
          </c:val>
          <c:extLst>
            <c:ext xmlns:c16="http://schemas.microsoft.com/office/drawing/2014/chart" uri="{C3380CC4-5D6E-409C-BE32-E72D297353CC}">
              <c16:uniqueId val="{00000001-51BF-40EE-8F9F-467BC85FC926}"/>
            </c:ext>
          </c:extLst>
        </c:ser>
        <c:dLbls>
          <c:showLegendKey val="0"/>
          <c:showVal val="0"/>
          <c:showCatName val="0"/>
          <c:showSerName val="0"/>
          <c:showPercent val="0"/>
          <c:showBubbleSize val="0"/>
        </c:dLbls>
        <c:gapWidth val="142"/>
        <c:overlap val="100"/>
        <c:axId val="602918816"/>
        <c:axId val="602920784"/>
      </c:barChart>
      <c:catAx>
        <c:axId val="60291881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920784"/>
        <c:crossesAt val="0"/>
        <c:auto val="1"/>
        <c:lblAlgn val="ctr"/>
        <c:lblOffset val="200"/>
        <c:noMultiLvlLbl val="0"/>
      </c:catAx>
      <c:valAx>
        <c:axId val="602920784"/>
        <c:scaling>
          <c:orientation val="minMax"/>
        </c:scaling>
        <c:delete val="1"/>
        <c:axPos val="t"/>
        <c:numFmt formatCode="#,##0;#,##0%" sourceLinked="0"/>
        <c:majorTickMark val="out"/>
        <c:minorTickMark val="none"/>
        <c:tickLblPos val="nextTo"/>
        <c:crossAx val="602918816"/>
        <c:crosses val="autoZero"/>
        <c:crossBetween val="between"/>
      </c:valAx>
    </c:plotArea>
    <c:legend>
      <c:legendPos val="b"/>
      <c:layout>
        <c:manualLayout>
          <c:xMode val="edge"/>
          <c:yMode val="edge"/>
          <c:x val="0.41188481539035843"/>
          <c:y val="0.92256296504125912"/>
          <c:w val="0.23356223250483985"/>
          <c:h val="5.62692805046926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ln>
      <a:noFill/>
    </a:ln>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'Q16 - Leadership'!$E$100:$E$105</c:f>
              <c:strCache>
                <c:ptCount val="6"/>
                <c:pt idx="0">
                  <c:v>Mentoring programs</c:v>
                </c:pt>
                <c:pt idx="1">
                  <c:v>Active promotion and representation of women</c:v>
                </c:pt>
                <c:pt idx="2">
                  <c:v>Other</c:v>
                </c:pt>
                <c:pt idx="3">
                  <c:v>Contribution to research, reports and other publications</c:v>
                </c:pt>
                <c:pt idx="4">
                  <c:v>Membership on broader networks and committees</c:v>
                </c:pt>
                <c:pt idx="5">
                  <c:v>Presentations and panel discussions at external events</c:v>
                </c:pt>
              </c:strCache>
            </c:strRef>
          </c:cat>
          <c:val>
            <c:numRef>
              <c:f>'Q16 - Leadership'!$F$100:$F$105</c:f>
              <c:numCache>
                <c:formatCode>0%</c:formatCode>
                <c:ptCount val="6"/>
                <c:pt idx="0">
                  <c:v>6.4516129032258063E-2</c:v>
                </c:pt>
                <c:pt idx="1">
                  <c:v>0.10752688172043011</c:v>
                </c:pt>
                <c:pt idx="2">
                  <c:v>0.15053763440860216</c:v>
                </c:pt>
                <c:pt idx="3">
                  <c:v>0.18279569892473119</c:v>
                </c:pt>
                <c:pt idx="4">
                  <c:v>0.19354838709677419</c:v>
                </c:pt>
                <c:pt idx="5">
                  <c:v>0.5161290322580645</c:v>
                </c:pt>
              </c:numCache>
            </c:numRef>
          </c:val>
          <c:extLst>
            <c:ext xmlns:c16="http://schemas.microsoft.com/office/drawing/2014/chart" uri="{C3380CC4-5D6E-409C-BE32-E72D297353CC}">
              <c16:uniqueId val="{00000000-3A02-4769-BE2D-FEFADD5B6896}"/>
            </c:ext>
          </c:extLst>
        </c:ser>
        <c:dLbls>
          <c:showLegendKey val="0"/>
          <c:showVal val="0"/>
          <c:showCatName val="0"/>
          <c:showSerName val="0"/>
          <c:showPercent val="0"/>
          <c:showBubbleSize val="0"/>
        </c:dLbls>
        <c:gapWidth val="182"/>
        <c:axId val="597110088"/>
        <c:axId val="597112384"/>
      </c:barChart>
      <c:catAx>
        <c:axId val="597110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597112384"/>
        <c:crosses val="autoZero"/>
        <c:auto val="1"/>
        <c:lblAlgn val="ctr"/>
        <c:lblOffset val="100"/>
        <c:noMultiLvlLbl val="0"/>
      </c:catAx>
      <c:valAx>
        <c:axId val="597112384"/>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 of agencies</a:t>
                </a:r>
              </a:p>
            </c:rich>
          </c:tx>
          <c:layout>
            <c:manualLayout>
              <c:xMode val="edge"/>
              <c:yMode val="edge"/>
              <c:x val="0.51740166161699463"/>
              <c:y val="0.912110098939998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597110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'A1. Meeting GES'!$D$16</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 Meeting GES'!$B$17:$B$19</c:f>
              <c:strCache>
                <c:ptCount val="3"/>
                <c:pt idx="0">
                  <c:v>One or more deliverables</c:v>
                </c:pt>
                <c:pt idx="1">
                  <c:v>Three or more deliverables</c:v>
                </c:pt>
                <c:pt idx="2">
                  <c:v>Ten or more deliverables</c:v>
                </c:pt>
              </c:strCache>
            </c:strRef>
          </c:cat>
          <c:val>
            <c:numRef>
              <c:f>'A1. Meeting GES'!$D$17:$D$19</c:f>
              <c:numCache>
                <c:formatCode>0%</c:formatCode>
                <c:ptCount val="3"/>
                <c:pt idx="0">
                  <c:v>0.9278350515463919</c:v>
                </c:pt>
                <c:pt idx="1">
                  <c:v>0.59793814432989689</c:v>
                </c:pt>
                <c:pt idx="2">
                  <c:v>6.1855670103092786E-2</c:v>
                </c:pt>
              </c:numCache>
            </c:numRef>
          </c:val>
          <c:extLst>
            <c:ext xmlns:c16="http://schemas.microsoft.com/office/drawing/2014/chart" uri="{C3380CC4-5D6E-409C-BE32-E72D297353CC}">
              <c16:uniqueId val="{00000000-6EAC-49B2-9669-A01F7B00651C}"/>
            </c:ext>
          </c:extLst>
        </c:ser>
        <c:ser>
          <c:idx val="0"/>
          <c:order val="1"/>
          <c:tx>
            <c:strRef>
              <c:f>'A1. Meeting GES'!$C$16</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 Meeting GES'!$B$17:$B$19</c:f>
              <c:strCache>
                <c:ptCount val="3"/>
                <c:pt idx="0">
                  <c:v>One or more deliverables</c:v>
                </c:pt>
                <c:pt idx="1">
                  <c:v>Three or more deliverables</c:v>
                </c:pt>
                <c:pt idx="2">
                  <c:v>Ten or more deliverables</c:v>
                </c:pt>
              </c:strCache>
            </c:strRef>
          </c:cat>
          <c:val>
            <c:numRef>
              <c:f>'A1. Meeting GES'!$C$17:$C$19</c:f>
              <c:numCache>
                <c:formatCode>0%</c:formatCode>
                <c:ptCount val="3"/>
                <c:pt idx="0">
                  <c:v>0.98989898989898994</c:v>
                </c:pt>
                <c:pt idx="1">
                  <c:v>0.8484848484848484</c:v>
                </c:pt>
                <c:pt idx="2">
                  <c:v>0.18181818181818182</c:v>
                </c:pt>
              </c:numCache>
            </c:numRef>
          </c:val>
          <c:extLst>
            <c:ext xmlns:c16="http://schemas.microsoft.com/office/drawing/2014/chart" uri="{C3380CC4-5D6E-409C-BE32-E72D297353CC}">
              <c16:uniqueId val="{00000001-6EAC-49B2-9669-A01F7B00651C}"/>
            </c:ext>
          </c:extLst>
        </c:ser>
        <c:dLbls>
          <c:showLegendKey val="0"/>
          <c:showVal val="0"/>
          <c:showCatName val="0"/>
          <c:showSerName val="0"/>
          <c:showPercent val="0"/>
          <c:showBubbleSize val="0"/>
        </c:dLbls>
        <c:gapWidth val="219"/>
        <c:overlap val="-27"/>
        <c:axId val="608775960"/>
        <c:axId val="608769400"/>
      </c:barChart>
      <c:catAx>
        <c:axId val="60877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769400"/>
        <c:crosses val="autoZero"/>
        <c:auto val="1"/>
        <c:lblAlgn val="ctr"/>
        <c:lblOffset val="100"/>
        <c:noMultiLvlLbl val="0"/>
      </c:catAx>
      <c:valAx>
        <c:axId val="608769400"/>
        <c:scaling>
          <c:orientation val="minMax"/>
          <c:max val="1"/>
        </c:scaling>
        <c:delete val="1"/>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a:t>
                </a:r>
                <a:r>
                  <a:rPr lang="en-AU" b="1" baseline="0"/>
                  <a:t> of agencies</a:t>
                </a:r>
                <a:endParaRPr lang="en-AU"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08775960"/>
        <c:crosses val="autoZero"/>
        <c:crossBetween val="between"/>
      </c:valAx>
      <c:spPr>
        <a:noFill/>
        <a:ln>
          <a:noFill/>
        </a:ln>
        <a:effectLst/>
      </c:spPr>
    </c:plotArea>
    <c:legend>
      <c:legendPos val="b"/>
      <c:layout>
        <c:manualLayout>
          <c:xMode val="edge"/>
          <c:yMode val="edge"/>
          <c:x val="0.35252862686541248"/>
          <c:y val="0.89243064171009501"/>
          <c:w val="0.22438027936695348"/>
          <c:h val="7.81648005834605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'A2. Bully-percieved'!$B$16</c:f>
              <c:strCache>
                <c:ptCount val="1"/>
                <c:pt idx="0">
                  <c:v>Men or male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dLbl>
              <c:idx val="0"/>
              <c:layout>
                <c:manualLayout>
                  <c:x val="-4.7971420882202215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9DA-4DA1-B962-C7F16910AAB6}"/>
                </c:ext>
              </c:extLst>
            </c:dLbl>
            <c:dLbl>
              <c:idx val="1"/>
              <c:layout>
                <c:manualLayout>
                  <c:x val="-6.78170658656643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9DA-4DA1-B962-C7F16910AA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'A2. Bully-percieved'!$A$17:$A$20</c:f>
              <c:numCache>
                <c:formatCode>General</c:formatCode>
                <c:ptCount val="2"/>
                <c:pt idx="0">
                  <c:v>2023</c:v>
                </c:pt>
                <c:pt idx="1">
                  <c:v>2021</c:v>
                </c:pt>
              </c:numCache>
              <c:extLst/>
            </c:numRef>
          </c:cat>
          <c:val>
            <c:numRef>
              <c:f>'A2. Bully-percieved'!$B$17:$B$20</c:f>
              <c:numCache>
                <c:formatCode>0.0%</c:formatCode>
                <c:ptCount val="2"/>
                <c:pt idx="0">
                  <c:v>8.056758580164966E-2</c:v>
                </c:pt>
                <c:pt idx="1">
                  <c:v>9.3738014267815598E-2</c:v>
                </c:pt>
              </c:numCache>
              <c:extLst/>
            </c:numRef>
          </c:val>
          <c:smooth val="0"/>
          <c:extLst>
            <c:ext xmlns:c16="http://schemas.microsoft.com/office/drawing/2014/chart" uri="{C3380CC4-5D6E-409C-BE32-E72D297353CC}">
              <c16:uniqueId val="{00000000-C9DA-4DA1-B962-C7F16910AAB6}"/>
            </c:ext>
          </c:extLst>
        </c:ser>
        <c:ser>
          <c:idx val="1"/>
          <c:order val="1"/>
          <c:tx>
            <c:strRef>
              <c:f>'A2. Bully-percieved'!$C$16</c:f>
              <c:strCache>
                <c:ptCount val="1"/>
                <c:pt idx="0">
                  <c:v>Women or female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dLbl>
              <c:idx val="0"/>
              <c:layout>
                <c:manualLayout>
                  <c:x val="-4.2464297806214218E-2"/>
                  <c:y val="-5.040322580645161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DA-4DA1-B962-C7F16910AAB6}"/>
                </c:ext>
              </c:extLst>
            </c:dLbl>
            <c:dLbl>
              <c:idx val="1"/>
              <c:layout>
                <c:manualLayout>
                  <c:x val="-7.7745444443479847E-2"/>
                  <c:y val="-5.040322580645161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DA-4DA1-B962-C7F16910AA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'A2. Bully-percieved'!$A$17:$A$20</c:f>
              <c:numCache>
                <c:formatCode>General</c:formatCode>
                <c:ptCount val="2"/>
                <c:pt idx="0">
                  <c:v>2023</c:v>
                </c:pt>
                <c:pt idx="1">
                  <c:v>2021</c:v>
                </c:pt>
              </c:numCache>
              <c:extLst/>
            </c:numRef>
          </c:cat>
          <c:val>
            <c:numRef>
              <c:f>'A2. Bully-percieved'!$C$17:$C$20</c:f>
              <c:numCache>
                <c:formatCode>0.0%</c:formatCode>
                <c:ptCount val="2"/>
                <c:pt idx="0">
                  <c:v>0.11142072866411579</c:v>
                </c:pt>
                <c:pt idx="1">
                  <c:v>0.12446512535997267</c:v>
                </c:pt>
              </c:numCache>
              <c:extLst/>
            </c:numRef>
          </c:val>
          <c:smooth val="0"/>
          <c:extLst>
            <c:ext xmlns:c16="http://schemas.microsoft.com/office/drawing/2014/chart" uri="{C3380CC4-5D6E-409C-BE32-E72D297353CC}">
              <c16:uniqueId val="{00000001-C9DA-4DA1-B962-C7F16910AAB6}"/>
            </c:ext>
          </c:extLst>
        </c:ser>
        <c:ser>
          <c:idx val="2"/>
          <c:order val="2"/>
          <c:tx>
            <c:strRef>
              <c:f>'A2. Bully-percieved'!$D$16</c:f>
              <c:strCache>
                <c:ptCount val="1"/>
                <c:pt idx="0">
                  <c:v>Non-binary</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dLbl>
              <c:idx val="0"/>
              <c:layout>
                <c:manualLayout>
                  <c:x val="-5.7899799460017803E-2"/>
                  <c:y val="2.0161290322580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DA-4DA1-B962-C7F16910AAB6}"/>
                </c:ext>
              </c:extLst>
            </c:dLbl>
            <c:dLbl>
              <c:idx val="1"/>
              <c:layout>
                <c:manualLayout>
                  <c:x val="-6.8925157784163416E-2"/>
                  <c:y val="2.0161290322580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DA-4DA1-B962-C7F16910AA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'A2. Bully-percieved'!$A$17:$A$20</c:f>
              <c:numCache>
                <c:formatCode>General</c:formatCode>
                <c:ptCount val="2"/>
                <c:pt idx="0">
                  <c:v>2023</c:v>
                </c:pt>
                <c:pt idx="1">
                  <c:v>2021</c:v>
                </c:pt>
              </c:numCache>
              <c:extLst/>
            </c:numRef>
          </c:cat>
          <c:val>
            <c:numRef>
              <c:f>'A2. Bully-percieved'!$D$17:$D$20</c:f>
              <c:numCache>
                <c:formatCode>0.0%</c:formatCode>
                <c:ptCount val="2"/>
                <c:pt idx="0">
                  <c:v>0.19787985865724381</c:v>
                </c:pt>
                <c:pt idx="1">
                  <c:v>0.2478386167146974</c:v>
                </c:pt>
              </c:numCache>
              <c:extLst/>
            </c:numRef>
          </c:val>
          <c:smooth val="0"/>
          <c:extLst>
            <c:ext xmlns:c16="http://schemas.microsoft.com/office/drawing/2014/chart" uri="{C3380CC4-5D6E-409C-BE32-E72D297353CC}">
              <c16:uniqueId val="{00000002-C9DA-4DA1-B962-C7F16910AAB6}"/>
            </c:ext>
          </c:extLst>
        </c:ser>
        <c:ser>
          <c:idx val="3"/>
          <c:order val="3"/>
          <c:tx>
            <c:strRef>
              <c:f>'A2. Bully-percieved'!$E$16</c:f>
              <c:strCache>
                <c:ptCount val="1"/>
                <c:pt idx="0">
                  <c:v>I use a different term</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dLbl>
              <c:idx val="0"/>
              <c:layout>
                <c:manualLayout>
                  <c:x val="-5.5126791620727672E-2"/>
                  <c:y val="-5.0403225806451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DA-4DA1-B962-C7F16910AAB6}"/>
                </c:ext>
              </c:extLst>
            </c:dLbl>
            <c:dLbl>
              <c:idx val="1"/>
              <c:layout>
                <c:manualLayout>
                  <c:x val="-7.0562293274531424E-2"/>
                  <c:y val="-3.0241935483870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DA-4DA1-B962-C7F16910AA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Lit>
              <c:ptCount val="4"/>
              <c:pt idx="0">
                <c:v>2023</c:v>
              </c:pt>
              <c:pt idx="1">
                <c:v>2021</c:v>
              </c:pt>
              <c:pt idx="2">
                <c:v>2019</c:v>
              </c:pt>
              <c:pt idx="3">
                <c:v>2017</c:v>
              </c:pt>
              <c:extLst>
                <c:ext xmlns:c15="http://schemas.microsoft.com/office/drawing/2012/chart" uri="{02D57815-91ED-43cb-92C2-25804820EDAC}">
                  <c15:autoCat val="1"/>
                </c:ext>
              </c:extLst>
            </c:strLit>
          </c:cat>
          <c:val>
            <c:numRef>
              <c:f>'A2. Bully-percieved'!$E$17:$E$18</c:f>
              <c:numCache>
                <c:formatCode>0.0%</c:formatCode>
                <c:ptCount val="2"/>
                <c:pt idx="0">
                  <c:v>0.20499999999999999</c:v>
                </c:pt>
                <c:pt idx="1">
                  <c:v>0.25742574257425743</c:v>
                </c:pt>
              </c:numCache>
              <c:extLst/>
            </c:numRef>
          </c:val>
          <c:smooth val="0"/>
          <c:extLst>
            <c:ext xmlns:c16="http://schemas.microsoft.com/office/drawing/2014/chart" uri="{C3380CC4-5D6E-409C-BE32-E72D297353CC}">
              <c16:uniqueId val="{00000003-C9DA-4DA1-B962-C7F16910AAB6}"/>
            </c:ext>
          </c:extLst>
        </c:ser>
        <c:dLbls>
          <c:dLblPos val="ctr"/>
          <c:showLegendKey val="0"/>
          <c:showVal val="1"/>
          <c:showCatName val="0"/>
          <c:showSerName val="0"/>
          <c:showPercent val="0"/>
          <c:showBubbleSize val="0"/>
        </c:dLbls>
        <c:marker val="1"/>
        <c:smooth val="0"/>
        <c:axId val="665023448"/>
        <c:axId val="712204648"/>
      </c:lineChart>
      <c:catAx>
        <c:axId val="665023448"/>
        <c:scaling>
          <c:orientation val="maxMin"/>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712204648"/>
        <c:crosses val="autoZero"/>
        <c:auto val="1"/>
        <c:lblAlgn val="ctr"/>
        <c:lblOffset val="100"/>
        <c:noMultiLvlLbl val="0"/>
      </c:catAx>
      <c:valAx>
        <c:axId val="712204648"/>
        <c:scaling>
          <c:orientation val="minMax"/>
        </c:scaling>
        <c:delete val="1"/>
        <c:axPos val="r"/>
        <c:numFmt formatCode="0.0%" sourceLinked="1"/>
        <c:majorTickMark val="none"/>
        <c:minorTickMark val="none"/>
        <c:tickLblPos val="nextTo"/>
        <c:crossAx val="665023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682738803184335"/>
          <c:y val="4.0854224698235839E-2"/>
          <c:w val="0.46891682365503651"/>
          <c:h val="0.9554317548746518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'A2. Bully-percieved'!$E$45:$E$54</c:f>
              <c:strCache>
                <c:ptCount val="9"/>
                <c:pt idx="0">
                  <c:v>Sexual harassment</c:v>
                </c:pt>
                <c:pt idx="1">
                  <c:v>Interference with your personal property or work equipment</c:v>
                </c:pt>
                <c:pt idx="2">
                  <c:v>Physical behaviour</c:v>
                </c:pt>
                <c:pt idx="3">
                  <c:v>Cyberbullying</c:v>
                </c:pt>
                <c:pt idx="4">
                  <c:v>Other</c:v>
                </c:pt>
                <c:pt idx="5">
                  <c:v>Deliberate exclusion from work-related activities</c:v>
                </c:pt>
                <c:pt idx="6">
                  <c:v>Inappropriate and unfair application of work policies or rules</c:v>
                </c:pt>
                <c:pt idx="7">
                  <c:v>Interference with work tasks</c:v>
                </c:pt>
                <c:pt idx="8">
                  <c:v>Verbal abuse</c:v>
                </c:pt>
              </c:strCache>
            </c:strRef>
          </c:cat>
          <c:val>
            <c:numRef>
              <c:f>'A2. Bully-percieved'!$F$45:$F$54</c:f>
              <c:numCache>
                <c:formatCode>0%</c:formatCode>
                <c:ptCount val="9"/>
                <c:pt idx="0">
                  <c:v>3.5781990521327016E-2</c:v>
                </c:pt>
                <c:pt idx="1">
                  <c:v>3.9336492890995257E-2</c:v>
                </c:pt>
                <c:pt idx="2">
                  <c:v>4.0521327014218012E-2</c:v>
                </c:pt>
                <c:pt idx="3">
                  <c:v>8.5387045813586096E-2</c:v>
                </c:pt>
                <c:pt idx="4">
                  <c:v>0.18672985781990523</c:v>
                </c:pt>
                <c:pt idx="5">
                  <c:v>0.26105845181674564</c:v>
                </c:pt>
                <c:pt idx="6">
                  <c:v>0.29620853080568721</c:v>
                </c:pt>
                <c:pt idx="7">
                  <c:v>0.40631911532385467</c:v>
                </c:pt>
                <c:pt idx="8">
                  <c:v>0.40710900473933648</c:v>
                </c:pt>
              </c:numCache>
            </c:numRef>
          </c:val>
          <c:extLst>
            <c:ext xmlns:c16="http://schemas.microsoft.com/office/drawing/2014/chart" uri="{C3380CC4-5D6E-409C-BE32-E72D297353CC}">
              <c16:uniqueId val="{00000000-787B-4487-995E-D5B7A1C2A3EB}"/>
            </c:ext>
          </c:extLst>
        </c:ser>
        <c:dLbls>
          <c:showLegendKey val="0"/>
          <c:showVal val="0"/>
          <c:showCatName val="0"/>
          <c:showSerName val="0"/>
          <c:showPercent val="0"/>
          <c:showBubbleSize val="0"/>
        </c:dLbls>
        <c:gapWidth val="182"/>
        <c:axId val="700140112"/>
        <c:axId val="700134536"/>
      </c:barChart>
      <c:catAx>
        <c:axId val="700140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700134536"/>
        <c:crosses val="autoZero"/>
        <c:auto val="1"/>
        <c:lblAlgn val="ctr"/>
        <c:lblOffset val="100"/>
        <c:noMultiLvlLbl val="0"/>
      </c:catAx>
      <c:valAx>
        <c:axId val="700134536"/>
        <c:scaling>
          <c:orientation val="minMax"/>
        </c:scaling>
        <c:delete val="1"/>
        <c:axPos val="b"/>
        <c:numFmt formatCode="0%" sourceLinked="1"/>
        <c:majorTickMark val="none"/>
        <c:minorTickMark val="none"/>
        <c:tickLblPos val="nextTo"/>
        <c:crossAx val="700140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'A2. Discrimination'!$E$29:$E$37</c:f>
              <c:strCache>
                <c:ptCount val="9"/>
                <c:pt idx="0">
                  <c:v>Identification as an Australian Aboriginal and/or Torres Strait Islander person</c:v>
                </c:pt>
                <c:pt idx="1">
                  <c:v>Religion</c:v>
                </c:pt>
                <c:pt idx="2">
                  <c:v>LGBTIQA+</c:v>
                </c:pt>
                <c:pt idx="3">
                  <c:v>Disability</c:v>
                </c:pt>
                <c:pt idx="4">
                  <c:v>Caring responsibilities</c:v>
                </c:pt>
                <c:pt idx="5">
                  <c:v>Other</c:v>
                </c:pt>
                <c:pt idx="6">
                  <c:v>Race</c:v>
                </c:pt>
                <c:pt idx="7">
                  <c:v>Age</c:v>
                </c:pt>
                <c:pt idx="8">
                  <c:v>Gender</c:v>
                </c:pt>
              </c:strCache>
            </c:strRef>
          </c:cat>
          <c:val>
            <c:numRef>
              <c:f>'A2. Discrimination'!$F$29:$F$37</c:f>
              <c:numCache>
                <c:formatCode>0%</c:formatCode>
                <c:ptCount val="9"/>
                <c:pt idx="0">
                  <c:v>3.9793365081927518E-2</c:v>
                </c:pt>
                <c:pt idx="1">
                  <c:v>4.6815723625797077E-2</c:v>
                </c:pt>
                <c:pt idx="2">
                  <c:v>4.8349342158366303E-2</c:v>
                </c:pt>
                <c:pt idx="3">
                  <c:v>0.1458551941238195</c:v>
                </c:pt>
                <c:pt idx="4">
                  <c:v>0.19840180805553312</c:v>
                </c:pt>
                <c:pt idx="5">
                  <c:v>0.20493986601017031</c:v>
                </c:pt>
                <c:pt idx="6">
                  <c:v>0.22092178545483898</c:v>
                </c:pt>
                <c:pt idx="7">
                  <c:v>0.25554927758495438</c:v>
                </c:pt>
                <c:pt idx="8">
                  <c:v>0.29259827266123173</c:v>
                </c:pt>
              </c:numCache>
            </c:numRef>
          </c:val>
          <c:extLst>
            <c:ext xmlns:c16="http://schemas.microsoft.com/office/drawing/2014/chart" uri="{C3380CC4-5D6E-409C-BE32-E72D297353CC}">
              <c16:uniqueId val="{00000000-36F3-4AC2-8948-AE272EE51B41}"/>
            </c:ext>
          </c:extLst>
        </c:ser>
        <c:dLbls>
          <c:showLegendKey val="0"/>
          <c:showVal val="0"/>
          <c:showCatName val="0"/>
          <c:showSerName val="0"/>
          <c:showPercent val="0"/>
          <c:showBubbleSize val="0"/>
        </c:dLbls>
        <c:gapWidth val="100"/>
        <c:axId val="477165240"/>
        <c:axId val="477163272"/>
      </c:barChart>
      <c:catAx>
        <c:axId val="477165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77163272"/>
        <c:crosses val="autoZero"/>
        <c:auto val="1"/>
        <c:lblAlgn val="ctr"/>
        <c:lblOffset val="100"/>
        <c:noMultiLvlLbl val="0"/>
      </c:catAx>
      <c:valAx>
        <c:axId val="477163272"/>
        <c:scaling>
          <c:orientation val="minMax"/>
        </c:scaling>
        <c:delete val="1"/>
        <c:axPos val="b"/>
        <c:numFmt formatCode="0%" sourceLinked="1"/>
        <c:majorTickMark val="none"/>
        <c:minorTickMark val="none"/>
        <c:tickLblPos val="nextTo"/>
        <c:crossAx val="477165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solidFill>
                <a:schemeClr val="accent1">
                  <a:alpha val="96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'A2. Bully-reported'!$I$18:$I$28</c:f>
              <c:strCache>
                <c:ptCount val="11"/>
                <c:pt idx="0">
                  <c:v>I did not think action would be taken</c:v>
                </c:pt>
                <c:pt idx="1">
                  <c:v>I feared possible retaliation or reprisals</c:v>
                </c:pt>
                <c:pt idx="2">
                  <c:v>I did not want to upset relationships in the workplace</c:v>
                </c:pt>
                <c:pt idx="3">
                  <c:v>It could affect my career</c:v>
                </c:pt>
                <c:pt idx="4">
                  <c:v>I did not think it was worth the hassle of going through the reporting process</c:v>
                </c:pt>
                <c:pt idx="5">
                  <c:v>Managers accepted the behaviour</c:v>
                </c:pt>
                <c:pt idx="6">
                  <c:v>I did not think the harassment or bullying was serious enough</c:v>
                </c:pt>
                <c:pt idx="7">
                  <c:v>I did not have enough evidence</c:v>
                </c:pt>
                <c:pt idx="8">
                  <c:v>Other</c:v>
                </c:pt>
                <c:pt idx="9">
                  <c:v>The matter was resolved informally</c:v>
                </c:pt>
                <c:pt idx="10">
                  <c:v>I did not know how to report it</c:v>
                </c:pt>
              </c:strCache>
            </c:strRef>
          </c:cat>
          <c:val>
            <c:numRef>
              <c:f>'A2. Bully-reported'!$J$18:$J$28</c:f>
              <c:numCache>
                <c:formatCode>0%</c:formatCode>
                <c:ptCount val="11"/>
                <c:pt idx="0">
                  <c:v>0.47460744093931256</c:v>
                </c:pt>
                <c:pt idx="1">
                  <c:v>0.46102701938039325</c:v>
                </c:pt>
                <c:pt idx="2">
                  <c:v>0.39439807610694577</c:v>
                </c:pt>
                <c:pt idx="3">
                  <c:v>0.36695430753996322</c:v>
                </c:pt>
                <c:pt idx="4">
                  <c:v>0.3389446880746923</c:v>
                </c:pt>
                <c:pt idx="5">
                  <c:v>0.30669118687225916</c:v>
                </c:pt>
                <c:pt idx="6">
                  <c:v>0.1704625831093507</c:v>
                </c:pt>
                <c:pt idx="7">
                  <c:v>0.15391144433441789</c:v>
                </c:pt>
                <c:pt idx="8">
                  <c:v>9.4497100014146268E-2</c:v>
                </c:pt>
                <c:pt idx="9">
                  <c:v>8.4311783844956856E-2</c:v>
                </c:pt>
                <c:pt idx="10">
                  <c:v>4.9511953600226338E-2</c:v>
                </c:pt>
              </c:numCache>
            </c:numRef>
          </c:val>
          <c:extLst>
            <c:ext xmlns:c16="http://schemas.microsoft.com/office/drawing/2014/chart" uri="{C3380CC4-5D6E-409C-BE32-E72D297353CC}">
              <c16:uniqueId val="{00000000-4353-4409-8021-91A64A08B0A7}"/>
            </c:ext>
          </c:extLst>
        </c:ser>
        <c:dLbls>
          <c:showLegendKey val="0"/>
          <c:showVal val="0"/>
          <c:showCatName val="0"/>
          <c:showSerName val="0"/>
          <c:showPercent val="0"/>
          <c:showBubbleSize val="0"/>
        </c:dLbls>
        <c:gapWidth val="100"/>
        <c:axId val="677753040"/>
        <c:axId val="677752056"/>
      </c:barChart>
      <c:catAx>
        <c:axId val="677753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677752056"/>
        <c:crosses val="autoZero"/>
        <c:auto val="1"/>
        <c:lblAlgn val="ctr"/>
        <c:lblOffset val="100"/>
        <c:noMultiLvlLbl val="0"/>
      </c:catAx>
      <c:valAx>
        <c:axId val="677752056"/>
        <c:scaling>
          <c:orientation val="minMax"/>
        </c:scaling>
        <c:delete val="1"/>
        <c:axPos val="t"/>
        <c:numFmt formatCode="0%" sourceLinked="1"/>
        <c:majorTickMark val="none"/>
        <c:minorTickMark val="none"/>
        <c:tickLblPos val="nextTo"/>
        <c:crossAx val="67775304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11926486035988"/>
          <c:y val="5.0065872685134412E-2"/>
          <c:w val="0.73867938778876452"/>
          <c:h val="0.78825071976135141"/>
        </c:manualLayout>
      </c:layout>
      <c:barChart>
        <c:barDir val="bar"/>
        <c:grouping val="clustered"/>
        <c:varyColors val="0"/>
        <c:ser>
          <c:idx val="1"/>
          <c:order val="1"/>
          <c:tx>
            <c:strRef>
              <c:f>'A1. A2. A4. Q1 Matrix table'!$B$102</c:f>
              <c:strCache>
                <c:ptCount val="1"/>
                <c:pt idx="0">
                  <c:v>Sexual Harrassment</c:v>
                </c:pt>
              </c:strCache>
            </c:strRef>
          </c:tx>
          <c:spPr>
            <a:solidFill>
              <a:schemeClr val="accent3"/>
            </a:solidFill>
            <a:ln>
              <a:solidFill>
                <a:schemeClr val="accent3"/>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 A2. A4. Q1 Matrix table'!$C$100:$F$100</c:f>
              <c:strCache>
                <c:ptCount val="4"/>
                <c:pt idx="0">
                  <c:v>Other</c:v>
                </c:pt>
                <c:pt idx="1">
                  <c:v>Action Plan</c:v>
                </c:pt>
                <c:pt idx="2">
                  <c:v>Strategy </c:v>
                </c:pt>
                <c:pt idx="3">
                  <c:v>Policy </c:v>
                </c:pt>
              </c:strCache>
            </c:strRef>
          </c:cat>
          <c:val>
            <c:numRef>
              <c:f>'A1. A2. A4. Q1 Matrix table'!$C$102:$F$102</c:f>
              <c:numCache>
                <c:formatCode>0.00%</c:formatCode>
                <c:ptCount val="4"/>
                <c:pt idx="0">
                  <c:v>0.38709677419354838</c:v>
                </c:pt>
                <c:pt idx="1">
                  <c:v>0.11827956989247312</c:v>
                </c:pt>
                <c:pt idx="2">
                  <c:v>0.16129032258064516</c:v>
                </c:pt>
                <c:pt idx="3">
                  <c:v>0.93548387096774188</c:v>
                </c:pt>
              </c:numCache>
            </c:numRef>
          </c:val>
          <c:extLst>
            <c:ext xmlns:c16="http://schemas.microsoft.com/office/drawing/2014/chart" uri="{C3380CC4-5D6E-409C-BE32-E72D297353CC}">
              <c16:uniqueId val="{00000000-6A95-4EBC-8F8B-493E0297E5B4}"/>
            </c:ext>
          </c:extLst>
        </c:ser>
        <c:ser>
          <c:idx val="2"/>
          <c:order val="2"/>
          <c:tx>
            <c:strRef>
              <c:f>'A1. A2. A4. Q1 Matrix table'!$B$103</c:f>
              <c:strCache>
                <c:ptCount val="1"/>
                <c:pt idx="0">
                  <c:v>Bullying</c:v>
                </c:pt>
              </c:strCache>
            </c:strRef>
          </c:tx>
          <c:spPr>
            <a:solidFill>
              <a:schemeClr val="accent2"/>
            </a:solidFill>
            <a:ln>
              <a:solidFill>
                <a:schemeClr val="accent2"/>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 A2. A4. Q1 Matrix table'!$C$100:$F$100</c:f>
              <c:strCache>
                <c:ptCount val="4"/>
                <c:pt idx="0">
                  <c:v>Other</c:v>
                </c:pt>
                <c:pt idx="1">
                  <c:v>Action Plan</c:v>
                </c:pt>
                <c:pt idx="2">
                  <c:v>Strategy </c:v>
                </c:pt>
                <c:pt idx="3">
                  <c:v>Policy </c:v>
                </c:pt>
              </c:strCache>
            </c:strRef>
          </c:cat>
          <c:val>
            <c:numRef>
              <c:f>'A1. A2. A4. Q1 Matrix table'!$C$103:$F$103</c:f>
              <c:numCache>
                <c:formatCode>0.00%</c:formatCode>
                <c:ptCount val="4"/>
                <c:pt idx="0">
                  <c:v>0.34408602150537637</c:v>
                </c:pt>
                <c:pt idx="1">
                  <c:v>0.1075268817204301</c:v>
                </c:pt>
                <c:pt idx="2">
                  <c:v>0.12903225806451613</c:v>
                </c:pt>
                <c:pt idx="3">
                  <c:v>0.97849462365591389</c:v>
                </c:pt>
              </c:numCache>
            </c:numRef>
          </c:val>
          <c:extLst>
            <c:ext xmlns:c16="http://schemas.microsoft.com/office/drawing/2014/chart" uri="{C3380CC4-5D6E-409C-BE32-E72D297353CC}">
              <c16:uniqueId val="{00000001-6A95-4EBC-8F8B-493E0297E5B4}"/>
            </c:ext>
          </c:extLst>
        </c:ser>
        <c:ser>
          <c:idx val="3"/>
          <c:order val="3"/>
          <c:tx>
            <c:strRef>
              <c:f>'A1. A2. A4. Q1 Matrix table'!$B$104</c:f>
              <c:strCache>
                <c:ptCount val="1"/>
                <c:pt idx="0">
                  <c:v>Discrimination</c:v>
                </c:pt>
              </c:strCache>
            </c:strRef>
          </c:tx>
          <c:spPr>
            <a:solidFill>
              <a:schemeClr val="accent1"/>
            </a:solidFill>
            <a:ln>
              <a:solidFill>
                <a:schemeClr val="accent1"/>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'A1. A2. A4. Q1 Matrix table'!$C$100:$F$100</c:f>
              <c:strCache>
                <c:ptCount val="4"/>
                <c:pt idx="0">
                  <c:v>Other</c:v>
                </c:pt>
                <c:pt idx="1">
                  <c:v>Action Plan</c:v>
                </c:pt>
                <c:pt idx="2">
                  <c:v>Strategy </c:v>
                </c:pt>
                <c:pt idx="3">
                  <c:v>Policy </c:v>
                </c:pt>
              </c:strCache>
            </c:strRef>
          </c:cat>
          <c:val>
            <c:numRef>
              <c:f>'A1. A2. A4. Q1 Matrix table'!$C$104:$F$104</c:f>
              <c:numCache>
                <c:formatCode>0.00%</c:formatCode>
                <c:ptCount val="4"/>
                <c:pt idx="0">
                  <c:v>0.35483870967741937</c:v>
                </c:pt>
                <c:pt idx="1">
                  <c:v>9.6774193548387094E-2</c:v>
                </c:pt>
                <c:pt idx="2">
                  <c:v>0.12903225806451613</c:v>
                </c:pt>
                <c:pt idx="3">
                  <c:v>0.92473118279569888</c:v>
                </c:pt>
              </c:numCache>
            </c:numRef>
          </c:val>
          <c:extLst>
            <c:ext xmlns:c16="http://schemas.microsoft.com/office/drawing/2014/chart" uri="{C3380CC4-5D6E-409C-BE32-E72D297353CC}">
              <c16:uniqueId val="{00000002-6A95-4EBC-8F8B-493E0297E5B4}"/>
            </c:ext>
          </c:extLst>
        </c:ser>
        <c:dLbls>
          <c:showLegendKey val="0"/>
          <c:showVal val="0"/>
          <c:showCatName val="0"/>
          <c:showSerName val="0"/>
          <c:showPercent val="0"/>
          <c:showBubbleSize val="0"/>
        </c:dLbls>
        <c:gapWidth val="182"/>
        <c:overlap val="-10"/>
        <c:axId val="464341336"/>
        <c:axId val="464341664"/>
        <c:extLst>
          <c:ext xmlns:c15="http://schemas.microsoft.com/office/drawing/2012/chart" uri="{02D57815-91ED-43cb-92C2-25804820EDAC}">
            <c15:filteredBarSeries>
              <c15:ser>
                <c:idx val="0"/>
                <c:order val="0"/>
                <c:tx>
                  <c:strRef>
                    <c:extLst>
                      <c:ext uri="{02D57815-91ED-43cb-92C2-25804820EDAC}">
                        <c15:formulaRef>
                          <c15:sqref>'A1. A2. A4. Q1 Matrix table'!$B$101</c15:sqref>
                        </c15:formulaRef>
                      </c:ext>
                    </c:extLst>
                    <c:strCache>
                      <c:ptCount val="1"/>
                      <c:pt idx="0">
                        <c:v>Family and Gender Based Violence</c:v>
                      </c:pt>
                    </c:strCache>
                  </c:strRef>
                </c:tx>
                <c:spPr>
                  <a:solidFill>
                    <a:schemeClr val="accent1"/>
                  </a:solidFill>
                  <a:ln>
                    <a:noFill/>
                  </a:ln>
                  <a:effectLst/>
                </c:spPr>
                <c:invertIfNegative val="0"/>
                <c:cat>
                  <c:strRef>
                    <c:extLst>
                      <c:ext uri="{02D57815-91ED-43cb-92C2-25804820EDAC}">
                        <c15:formulaRef>
                          <c15:sqref>'A1. A2. A4. Q1 Matrix table'!$C$100:$F$100</c15:sqref>
                        </c15:formulaRef>
                      </c:ext>
                    </c:extLst>
                    <c:strCache>
                      <c:ptCount val="4"/>
                      <c:pt idx="0">
                        <c:v>Other</c:v>
                      </c:pt>
                      <c:pt idx="1">
                        <c:v>Action Plan</c:v>
                      </c:pt>
                      <c:pt idx="2">
                        <c:v>Strategy </c:v>
                      </c:pt>
                      <c:pt idx="3">
                        <c:v>Policy </c:v>
                      </c:pt>
                    </c:strCache>
                  </c:strRef>
                </c:cat>
                <c:val>
                  <c:numRef>
                    <c:extLst>
                      <c:ext uri="{02D57815-91ED-43cb-92C2-25804820EDAC}">
                        <c15:formulaRef>
                          <c15:sqref>'A1. A2. A4. Q1 Matrix table'!$C$101:$F$101</c15:sqref>
                        </c15:formulaRef>
                      </c:ext>
                    </c:extLst>
                    <c:numCache>
                      <c:formatCode>0.00%</c:formatCode>
                      <c:ptCount val="4"/>
                      <c:pt idx="0">
                        <c:v>0.15053763440860216</c:v>
                      </c:pt>
                      <c:pt idx="1">
                        <c:v>7.5268817204301078E-2</c:v>
                      </c:pt>
                      <c:pt idx="2">
                        <c:v>8.6021505376344093E-2</c:v>
                      </c:pt>
                      <c:pt idx="3">
                        <c:v>0.79600000000000004</c:v>
                      </c:pt>
                    </c:numCache>
                  </c:numRef>
                </c:val>
                <c:extLst>
                  <c:ext xmlns:c16="http://schemas.microsoft.com/office/drawing/2014/chart" uri="{C3380CC4-5D6E-409C-BE32-E72D297353CC}">
                    <c16:uniqueId val="{00000003-6A95-4EBC-8F8B-493E0297E5B4}"/>
                  </c:ext>
                </c:extLst>
              </c15:ser>
            </c15:filteredBarSeries>
          </c:ext>
        </c:extLst>
      </c:barChart>
      <c:catAx>
        <c:axId val="464341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341664"/>
        <c:crosses val="autoZero"/>
        <c:auto val="1"/>
        <c:lblAlgn val="ctr"/>
        <c:lblOffset val="100"/>
        <c:noMultiLvlLbl val="0"/>
      </c:catAx>
      <c:valAx>
        <c:axId val="464341664"/>
        <c:scaling>
          <c:orientation val="minMax"/>
        </c:scaling>
        <c:delete val="1"/>
        <c:axPos val="b"/>
        <c:title>
          <c:tx>
            <c:rich>
              <a:bodyPr rot="0" spcFirstLastPara="1" vertOverflow="ellipsis" vert="horz" wrap="square" anchor="ctr" anchorCtr="1"/>
              <a:lstStyle/>
              <a:p>
                <a:pPr algn="ctr">
                  <a:defRPr sz="1000" b="1" i="0" u="none" strike="noStrike" kern="1200" baseline="0">
                    <a:solidFill>
                      <a:schemeClr val="tx1">
                        <a:lumMod val="50000"/>
                        <a:lumOff val="50000"/>
                      </a:schemeClr>
                    </a:solidFill>
                    <a:latin typeface="+mn-lt"/>
                    <a:ea typeface="+mn-ea"/>
                    <a:cs typeface="+mn-cs"/>
                  </a:defRPr>
                </a:pPr>
                <a:r>
                  <a:rPr lang="en-AU" sz="1000" b="1">
                    <a:solidFill>
                      <a:schemeClr val="tx1">
                        <a:lumMod val="65000"/>
                        <a:lumOff val="35000"/>
                      </a:schemeClr>
                    </a:solidFill>
                  </a:rPr>
                  <a:t>% of agencies</a:t>
                </a:r>
              </a:p>
            </c:rich>
          </c:tx>
          <c:layout>
            <c:manualLayout>
              <c:xMode val="edge"/>
              <c:yMode val="edge"/>
              <c:x val="0.4273541744437403"/>
              <c:y val="0.8355511913737107"/>
            </c:manualLayout>
          </c:layout>
          <c:overlay val="0"/>
          <c:spPr>
            <a:noFill/>
            <a:ln>
              <a:noFill/>
            </a:ln>
            <a:effectLst/>
          </c:spPr>
          <c:txPr>
            <a:bodyPr rot="0" spcFirstLastPara="1" vertOverflow="ellipsis" vert="horz" wrap="square" anchor="ctr" anchorCtr="1"/>
            <a:lstStyle/>
            <a:p>
              <a:pPr algn="ctr">
                <a:defRPr sz="1000" b="1" i="0" u="none" strike="noStrike" kern="1200" baseline="0">
                  <a:solidFill>
                    <a:schemeClr val="tx1">
                      <a:lumMod val="50000"/>
                      <a:lumOff val="50000"/>
                    </a:schemeClr>
                  </a:solidFill>
                  <a:latin typeface="+mn-lt"/>
                  <a:ea typeface="+mn-ea"/>
                  <a:cs typeface="+mn-cs"/>
                </a:defRPr>
              </a:pPr>
              <a:endParaRPr lang="en-US"/>
            </a:p>
          </c:txPr>
        </c:title>
        <c:numFmt formatCode="0.00%" sourceLinked="1"/>
        <c:majorTickMark val="none"/>
        <c:minorTickMark val="none"/>
        <c:tickLblPos val="nextTo"/>
        <c:crossAx val="464341336"/>
        <c:crosses val="autoZero"/>
        <c:crossBetween val="between"/>
      </c:valAx>
      <c:spPr>
        <a:noFill/>
        <a:ln>
          <a:noFill/>
        </a:ln>
        <a:effectLst/>
      </c:spPr>
    </c:plotArea>
    <c:legend>
      <c:legendPos val="b"/>
      <c:layout>
        <c:manualLayout>
          <c:xMode val="edge"/>
          <c:yMode val="edge"/>
          <c:x val="0.10528956758023769"/>
          <c:y val="0.9110585405899152"/>
          <c:w val="0.72407990346300433"/>
          <c:h val="7.50005249343832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57995989200357"/>
          <c:y val="4.7505938242280284E-2"/>
          <c:w val="0.76016425179487623"/>
          <c:h val="0.8898725977110775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'Q22 - Approach to bullying'!$B$105:$H$105</c:f>
              <c:strCache>
                <c:ptCount val="7"/>
                <c:pt idx="0">
                  <c:v>Comms</c:v>
                </c:pt>
                <c:pt idx="1">
                  <c:v>Forms and reporting </c:v>
                </c:pt>
                <c:pt idx="2">
                  <c:v>Officer networks</c:v>
                </c:pt>
                <c:pt idx="3">
                  <c:v>Frameworks</c:v>
                </c:pt>
                <c:pt idx="4">
                  <c:v>Other</c:v>
                </c:pt>
                <c:pt idx="5">
                  <c:v>Policies</c:v>
                </c:pt>
                <c:pt idx="6">
                  <c:v>Education</c:v>
                </c:pt>
              </c:strCache>
            </c:strRef>
          </c:cat>
          <c:val>
            <c:numRef>
              <c:f>'Q22 - Approach to bullying'!$B$106:$H$106</c:f>
              <c:numCache>
                <c:formatCode>0%</c:formatCode>
                <c:ptCount val="7"/>
                <c:pt idx="0">
                  <c:v>0.10752688172043011</c:v>
                </c:pt>
                <c:pt idx="1">
                  <c:v>0.19354838709677419</c:v>
                </c:pt>
                <c:pt idx="2">
                  <c:v>0.20430107526881722</c:v>
                </c:pt>
                <c:pt idx="3">
                  <c:v>0.21505376344086022</c:v>
                </c:pt>
                <c:pt idx="4">
                  <c:v>0.21505376344086022</c:v>
                </c:pt>
                <c:pt idx="5">
                  <c:v>0.5053763440860215</c:v>
                </c:pt>
                <c:pt idx="6">
                  <c:v>0.83870967741935487</c:v>
                </c:pt>
              </c:numCache>
            </c:numRef>
          </c:val>
          <c:extLst>
            <c:ext xmlns:c16="http://schemas.microsoft.com/office/drawing/2014/chart" uri="{C3380CC4-5D6E-409C-BE32-E72D297353CC}">
              <c16:uniqueId val="{00000000-32DF-4B0E-964E-93A14BD04385}"/>
            </c:ext>
          </c:extLst>
        </c:ser>
        <c:dLbls>
          <c:showLegendKey val="0"/>
          <c:showVal val="0"/>
          <c:showCatName val="0"/>
          <c:showSerName val="0"/>
          <c:showPercent val="0"/>
          <c:showBubbleSize val="0"/>
        </c:dLbls>
        <c:gapWidth val="182"/>
        <c:axId val="499126688"/>
        <c:axId val="499127672"/>
      </c:barChart>
      <c:catAx>
        <c:axId val="49912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900" b="0" i="0" u="none" strike="noStrike" kern="1200" baseline="0">
                <a:solidFill>
                  <a:schemeClr val="tx1">
                    <a:lumMod val="65000"/>
                    <a:lumOff val="35000"/>
                  </a:schemeClr>
                </a:solidFill>
                <a:latin typeface="+mn-lt"/>
                <a:ea typeface="+mn-ea"/>
                <a:cs typeface="+mn-cs"/>
              </a:defRPr>
            </a:pPr>
            <a:endParaRPr lang="en-US"/>
          </a:p>
        </c:txPr>
        <c:crossAx val="499127672"/>
        <c:crosses val="autoZero"/>
        <c:auto val="1"/>
        <c:lblAlgn val="ctr"/>
        <c:lblOffset val="100"/>
        <c:noMultiLvlLbl val="0"/>
      </c:catAx>
      <c:valAx>
        <c:axId val="49912767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chemeClr val="tx1">
                        <a:lumMod val="65000"/>
                        <a:lumOff val="35000"/>
                      </a:schemeClr>
                    </a:solidFill>
                  </a:rPr>
                  <a:t>% of agencies</a:t>
                </a:r>
              </a:p>
            </c:rich>
          </c:tx>
          <c:layout>
            <c:manualLayout>
              <c:xMode val="edge"/>
              <c:yMode val="edge"/>
              <c:x val="0.42731580272421849"/>
              <c:y val="0.933059814294968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499126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7FDCA61-26CC-4186-9321-5AE762C17341">4;#OFFICIAL|9e0ec9cb-4e7f-4d4a-bd32-1ee7525c6d87</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4F3E1895315E048B937DDAED1A9E430" ma:contentTypeVersion="" ma:contentTypeDescription="PDMS Document Site Content Type" ma:contentTypeScope="" ma:versionID="9b36f6ed49e6e4cf992889804a78b2fd">
  <xsd:schema xmlns:xsd="http://www.w3.org/2001/XMLSchema" xmlns:xs="http://www.w3.org/2001/XMLSchema" xmlns:p="http://schemas.microsoft.com/office/2006/metadata/properties" xmlns:ns2="C7FDCA61-26CC-4186-9321-5AE762C17341" targetNamespace="http://schemas.microsoft.com/office/2006/metadata/properties" ma:root="true" ma:fieldsID="3c67d0d1aff14269a693dbf2d2755579" ns2:_="">
    <xsd:import namespace="C7FDCA61-26CC-4186-9321-5AE762C1734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DCA61-26CC-4186-9321-5AE762C1734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7B1D-2A5E-47C6-B3D4-10E3BAE6C9CB}">
  <ds:schemaRefs>
    <ds:schemaRef ds:uri="http://schemas.microsoft.com/office/2006/metadata/properties"/>
    <ds:schemaRef ds:uri="http://schemas.microsoft.com/office/infopath/2007/PartnerControls"/>
    <ds:schemaRef ds:uri="C7FDCA61-26CC-4186-9321-5AE762C17341"/>
  </ds:schemaRefs>
</ds:datastoreItem>
</file>

<file path=customXml/itemProps2.xml><?xml version="1.0" encoding="utf-8"?>
<ds:datastoreItem xmlns:ds="http://schemas.openxmlformats.org/officeDocument/2006/customXml" ds:itemID="{18BDE7D2-A613-4554-BB97-C0EB5DE4C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DCA61-26CC-4186-9321-5AE762C17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C07E7-B19B-4965-AE9D-3347C7CA570F}">
  <ds:schemaRefs>
    <ds:schemaRef ds:uri="http://schemas.microsoft.com/sharepoint/v3/contenttype/forms"/>
  </ds:schemaRefs>
</ds:datastoreItem>
</file>

<file path=customXml/itemProps4.xml><?xml version="1.0" encoding="utf-8"?>
<ds:datastoreItem xmlns:ds="http://schemas.openxmlformats.org/officeDocument/2006/customXml" ds:itemID="{7A21103D-F5F9-4020-8472-81FF7B65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65</Pages>
  <Words>18748</Words>
  <Characters>108743</Characters>
  <Application>Microsoft Office Word</Application>
  <DocSecurity>0</DocSecurity>
  <Lines>2589</Lines>
  <Paragraphs>1148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Reihana</dc:creator>
  <cp:keywords/>
  <dc:description/>
  <cp:lastModifiedBy>Linden Creasey</cp:lastModifiedBy>
  <cp:revision>3</cp:revision>
  <dcterms:created xsi:type="dcterms:W3CDTF">2025-01-29T21:53:00Z</dcterms:created>
  <dcterms:modified xsi:type="dcterms:W3CDTF">2025-01-29T22:56:00Z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0x010100266966F133664895A6EE3632470D45F500B4F3E1895315E048B937DDAED1A9E430</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MediaServiceImageTags">
    <vt:lpwstr/>
  </property>
  <property fmtid="{D5CDD505-2E9C-101B-9397-08002B2CF9AE}" pid="9" name="SecurityClassification">
    <vt:lpwstr>4;#OFFICIAL|9e0ec9cb-4e7f-4d4a-bd32-1ee7525c6d87</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GUID">
    <vt:lpwstr>ff5638ce-91e9-4ba2-805f-dec12c14646c</vt:lpwstr>
  </property>
  <property fmtid="{D5CDD505-2E9C-101B-9397-08002B2CF9AE}" pid="16" name="SharedWithUsers">
    <vt:lpwstr/>
  </property>
  <property fmtid="{D5CDD505-2E9C-101B-9397-08002B2CF9AE}" pid="17" name="InformationMarker">
    <vt:lpwstr/>
  </property>
  <property fmtid="{D5CDD505-2E9C-101B-9397-08002B2CF9AE}" pid="18" name="PMCNotes">
    <vt:lpwstr/>
  </property>
  <property fmtid="{D5CDD505-2E9C-101B-9397-08002B2CF9AE}" pid="19" name="jd1c641577414dfdab1686c9d5d0dbd0">
    <vt:lpwstr/>
  </property>
  <property fmtid="{D5CDD505-2E9C-101B-9397-08002B2CF9AE}" pid="20" name="_dlc_DocIdItemGuid">
    <vt:lpwstr>07aeccc3-61a0-4f63-a369-255d54e8fdae</vt:lpwstr>
  </property>
</Properties>
</file>